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2D6" w:rsidRDefault="002652D6" w:rsidP="002652D6">
      <w:pPr>
        <w:pStyle w:val="ConsPlusNormal"/>
        <w:jc w:val="center"/>
      </w:pPr>
      <w:r>
        <w:t>Указания</w:t>
      </w:r>
    </w:p>
    <w:p w:rsidR="002652D6" w:rsidRDefault="002652D6" w:rsidP="002652D6">
      <w:pPr>
        <w:pStyle w:val="ConsPlusNormal"/>
        <w:jc w:val="center"/>
      </w:pPr>
      <w:r>
        <w:t>по заполнению формы федерального статистического наблюдения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Форму федерального статистического наблюдения </w:t>
      </w:r>
      <w:hyperlink w:anchor="P967" w:history="1">
        <w:r>
          <w:rPr>
            <w:color w:val="0000FF"/>
          </w:rPr>
          <w:t>N 7-НК</w:t>
        </w:r>
      </w:hyperlink>
      <w:r>
        <w:t xml:space="preserve"> предоставляют юридические лица - учреждения культурно-досугового типа независимо от их ведомственной принадлежности и формы собственности (государственные (муниципальные), негосударственные), а также юридические лица, содержащие на балансе учреждения культурно-досугового типа. В число организаций культурно-досугового типа входят объекты: &lt;*&gt;</w:t>
      </w:r>
    </w:p>
    <w:p w:rsidR="002652D6" w:rsidRDefault="002652D6" w:rsidP="002652D6">
      <w:pPr>
        <w:pStyle w:val="ConsPlusNormal"/>
        <w:ind w:firstLine="540"/>
        <w:jc w:val="both"/>
      </w:pPr>
      <w:r>
        <w:t>--------------------------------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&lt;*&gt; Для целей заполнения настоящей </w:t>
      </w:r>
      <w:hyperlink w:anchor="P967" w:history="1">
        <w:r>
          <w:rPr>
            <w:color w:val="0000FF"/>
          </w:rPr>
          <w:t>формы</w:t>
        </w:r>
      </w:hyperlink>
      <w:r>
        <w:t xml:space="preserve"> федерального статистического наблюдения.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proofErr w:type="gramStart"/>
      <w:r>
        <w:t>- функционирующие по административно-территориальному признаку, с универсально-комплексным характером деятельности: центры культуры и досуга, культурно-спортивные и социально-культурные комплексы; сельские (поселковые, городские) клубы; сельские (центральные, зональные, районные, городские, областные, краевые, республиканские) дома и дворцы культуры;</w:t>
      </w:r>
      <w:proofErr w:type="gramEnd"/>
    </w:p>
    <w:p w:rsidR="002652D6" w:rsidRDefault="002652D6" w:rsidP="002652D6">
      <w:pPr>
        <w:pStyle w:val="ConsPlusNormal"/>
        <w:ind w:firstLine="540"/>
        <w:jc w:val="both"/>
      </w:pPr>
      <w:proofErr w:type="gramStart"/>
      <w:r>
        <w:t>- ориентированные на культурные интересы определенных профессиональных, национальных, культурных и других социально-демографических категорий населения (например, клубы, центры и дома интеллигенции, книги, кино, эстетического воспитания детей, женщин, молодежи, пенсионеров; фольклора, музыкальной культуры, технического творчества; национальные культурные центры; центры традиционной культуры; дома ремесел и фольклора и др.);</w:t>
      </w:r>
      <w:proofErr w:type="gramEnd"/>
    </w:p>
    <w:p w:rsidR="002652D6" w:rsidRDefault="002652D6" w:rsidP="002652D6">
      <w:pPr>
        <w:pStyle w:val="ConsPlusNormal"/>
        <w:ind w:firstLine="540"/>
        <w:jc w:val="both"/>
      </w:pPr>
      <w:r>
        <w:t xml:space="preserve">- специализирующиеся на передвижном характере деятельности, с использованием различных транспортных средств (автоклубы, </w:t>
      </w:r>
      <w:proofErr w:type="spellStart"/>
      <w:r>
        <w:t>агиткультбригады</w:t>
      </w:r>
      <w:proofErr w:type="spellEnd"/>
      <w:r>
        <w:t xml:space="preserve">, плавучие </w:t>
      </w:r>
      <w:proofErr w:type="spellStart"/>
      <w:r>
        <w:t>культбазы</w:t>
      </w:r>
      <w:proofErr w:type="spellEnd"/>
      <w:r>
        <w:t xml:space="preserve"> и т.п.).</w:t>
      </w:r>
    </w:p>
    <w:p w:rsidR="002652D6" w:rsidRDefault="002652D6" w:rsidP="002652D6">
      <w:pPr>
        <w:pStyle w:val="ConsPlusNormal"/>
        <w:ind w:firstLine="540"/>
        <w:jc w:val="both"/>
      </w:pPr>
      <w: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00" w:history="1">
        <w:r>
          <w:rPr>
            <w:color w:val="0000FF"/>
          </w:rPr>
          <w:t>адресной части</w:t>
        </w:r>
      </w:hyperlink>
      <w: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ее ведомственная принадлежность, а затем в скобках - краткое наименование.</w:t>
      </w:r>
    </w:p>
    <w:p w:rsidR="002652D6" w:rsidRDefault="002652D6" w:rsidP="002652D6">
      <w:pPr>
        <w:pStyle w:val="ConsPlusNormal"/>
        <w:ind w:firstLine="540"/>
        <w:jc w:val="both"/>
      </w:pPr>
      <w:proofErr w:type="gramStart"/>
      <w:r>
        <w:t xml:space="preserve">По </w:t>
      </w:r>
      <w:hyperlink w:anchor="P1001" w:history="1">
        <w:r>
          <w:rPr>
            <w:color w:val="0000FF"/>
          </w:rPr>
          <w:t>строке</w:t>
        </w:r>
      </w:hyperlink>
      <w:r>
        <w:t xml:space="preserve"> "Почтовый адрес"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(почтовый) адрес.</w:t>
      </w:r>
      <w:proofErr w:type="gramEnd"/>
    </w:p>
    <w:p w:rsidR="002652D6" w:rsidRDefault="002652D6" w:rsidP="002652D6">
      <w:pPr>
        <w:pStyle w:val="ConsPlusNormal"/>
        <w:ind w:firstLine="540"/>
        <w:jc w:val="both"/>
      </w:pPr>
      <w:r>
        <w:t xml:space="preserve">Юридическое лицо проставляет в </w:t>
      </w:r>
      <w:hyperlink w:anchor="P1003" w:history="1">
        <w:r>
          <w:rPr>
            <w:color w:val="0000FF"/>
          </w:rPr>
          <w:t>кодовой части</w:t>
        </w:r>
      </w:hyperlink>
      <w:r>
        <w:t xml:space="preserve">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Учредитель (учредители) отчитывающейся организации указывается в соответствии с записью в учредительных документах, и затем его организационно-правовая форма и форма собственности. Направление основной деятельности учредителя определяется на основании классификатора кодов </w:t>
      </w:r>
      <w:hyperlink r:id="rId4" w:history="1">
        <w:r>
          <w:rPr>
            <w:color w:val="0000FF"/>
          </w:rPr>
          <w:t>ОКВЭД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Отчет по </w:t>
      </w:r>
      <w:hyperlink w:anchor="P967" w:history="1">
        <w:r>
          <w:rPr>
            <w:color w:val="0000FF"/>
          </w:rPr>
          <w:t>форме</w:t>
        </w:r>
      </w:hyperlink>
      <w:r>
        <w:t xml:space="preserve"> составляется на конец отчетного периода. Отчетный период - 1 год.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Все показатели, приведенные в </w:t>
      </w:r>
      <w:hyperlink w:anchor="P967" w:history="1">
        <w:r>
          <w:rPr>
            <w:color w:val="0000FF"/>
          </w:rPr>
          <w:t>форме</w:t>
        </w:r>
      </w:hyperlink>
      <w:r>
        <w:t xml:space="preserve">, должны соответствовать данным первичной учетной документации, имеющейся в организации. При заполнении </w:t>
      </w:r>
      <w:hyperlink w:anchor="P967" w:history="1">
        <w:r>
          <w:rPr>
            <w:color w:val="0000FF"/>
          </w:rPr>
          <w:t>формы</w:t>
        </w:r>
      </w:hyperlink>
      <w:r>
        <w:t xml:space="preserve"> должна быть обеспечена полнота заполнения и достоверность содержащихся в ней статистических данных.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Данные приводятся в тех единицах измерения, которые указаны в </w:t>
      </w:r>
      <w:hyperlink w:anchor="P967" w:history="1">
        <w:r>
          <w:rPr>
            <w:color w:val="0000FF"/>
          </w:rPr>
          <w:t>форме</w:t>
        </w:r>
      </w:hyperlink>
      <w:r>
        <w:t>.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jc w:val="center"/>
      </w:pPr>
      <w:r>
        <w:t>Раздел 1. Материально-техническая база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38" w:history="1">
        <w:r>
          <w:rPr>
            <w:color w:val="0000FF"/>
          </w:rPr>
          <w:t>графе 2</w:t>
        </w:r>
      </w:hyperlink>
      <w:r>
        <w:t xml:space="preserve"> указывается число зданий, постоянно используемых отчитывающейся организацией для осуществления культурно-досуговой деятельности.</w:t>
      </w:r>
    </w:p>
    <w:p w:rsidR="002652D6" w:rsidRDefault="002652D6" w:rsidP="002652D6">
      <w:pPr>
        <w:pStyle w:val="ConsPlusNormal"/>
        <w:ind w:firstLine="540"/>
        <w:jc w:val="both"/>
      </w:pPr>
      <w:proofErr w:type="gramStart"/>
      <w:r>
        <w:t xml:space="preserve">В </w:t>
      </w:r>
      <w:hyperlink w:anchor="P1039" w:history="1">
        <w:r>
          <w:rPr>
            <w:color w:val="0000FF"/>
          </w:rPr>
          <w:t>графах 3</w:t>
        </w:r>
      </w:hyperlink>
      <w:r>
        <w:t xml:space="preserve">, </w:t>
      </w:r>
      <w:hyperlink w:anchor="P1040" w:history="1">
        <w:r>
          <w:rPr>
            <w:color w:val="0000FF"/>
          </w:rPr>
          <w:t>4</w:t>
        </w:r>
      </w:hyperlink>
      <w:r>
        <w:t xml:space="preserve"> и </w:t>
      </w:r>
      <w:hyperlink w:anchor="P1041" w:history="1">
        <w:r>
          <w:rPr>
            <w:color w:val="0000FF"/>
          </w:rPr>
          <w:t>5</w:t>
        </w:r>
      </w:hyperlink>
      <w:r>
        <w:t xml:space="preserve"> (из </w:t>
      </w:r>
      <w:hyperlink w:anchor="P1038" w:history="1">
        <w:r>
          <w:rPr>
            <w:color w:val="0000FF"/>
          </w:rPr>
          <w:t>графы 2</w:t>
        </w:r>
      </w:hyperlink>
      <w:r>
        <w:t xml:space="preserve">) указывается число зданий с наличием </w:t>
      </w:r>
      <w:proofErr w:type="spellStart"/>
      <w:r>
        <w:t>безбарьерной</w:t>
      </w:r>
      <w:proofErr w:type="spellEnd"/>
      <w:r>
        <w:t xml:space="preserve"> среды для лиц с нарушениями: зрения </w:t>
      </w:r>
      <w:hyperlink w:anchor="P1039" w:history="1">
        <w:r>
          <w:rPr>
            <w:color w:val="0000FF"/>
          </w:rPr>
          <w:t>(графа 3)</w:t>
        </w:r>
      </w:hyperlink>
      <w:r>
        <w:t xml:space="preserve">, слуха </w:t>
      </w:r>
      <w:hyperlink w:anchor="P1040" w:history="1">
        <w:r>
          <w:rPr>
            <w:color w:val="0000FF"/>
          </w:rPr>
          <w:t>(графа 4)</w:t>
        </w:r>
      </w:hyperlink>
      <w:r>
        <w:t xml:space="preserve">, опорно-двигательного аппарата </w:t>
      </w:r>
      <w:hyperlink w:anchor="P1041" w:history="1">
        <w:r>
          <w:rPr>
            <w:color w:val="0000FF"/>
          </w:rPr>
          <w:t>(графа 5)</w:t>
        </w:r>
      </w:hyperlink>
      <w:r>
        <w:t xml:space="preserve">. </w:t>
      </w:r>
      <w:proofErr w:type="gramEnd"/>
      <w:r>
        <w:t xml:space="preserve">Данные вносятся в соответствии с </w:t>
      </w:r>
      <w:hyperlink r:id="rId5" w:history="1">
        <w:r>
          <w:rPr>
            <w:color w:val="0000FF"/>
          </w:rPr>
          <w:t>пунктом 41</w:t>
        </w:r>
      </w:hyperlink>
      <w:r>
        <w:t xml:space="preserve">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</w:t>
      </w:r>
      <w:r w:rsidR="00796510">
        <w:t xml:space="preserve"> </w:t>
      </w:r>
      <w:r>
        <w:t xml:space="preserve">закона "Технический регламент о </w:t>
      </w:r>
      <w:r>
        <w:lastRenderedPageBreak/>
        <w:t xml:space="preserve">безопасности зданий и сооружений", утвержденного постановлением Правительства Российской Федерации от 26 декабря 2014 г. </w:t>
      </w:r>
      <w:proofErr w:type="gramStart"/>
      <w:r>
        <w:t xml:space="preserve">N 1521 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сооружений", а также при наличии </w:t>
      </w:r>
      <w:proofErr w:type="spellStart"/>
      <w:r>
        <w:t>ассистивных</w:t>
      </w:r>
      <w:proofErr w:type="spellEnd"/>
      <w:r>
        <w:t xml:space="preserve"> средств с учетом разумного приспособления, если</w:t>
      </w:r>
      <w:proofErr w:type="gramEnd"/>
      <w:r>
        <w:t xml:space="preserve"> объект невозможно приспособить полностью.</w:t>
      </w:r>
    </w:p>
    <w:p w:rsidR="002652D6" w:rsidRDefault="002A56D6" w:rsidP="002652D6">
      <w:pPr>
        <w:pStyle w:val="ConsPlusNormal"/>
        <w:ind w:firstLine="540"/>
        <w:jc w:val="both"/>
      </w:pPr>
      <w:hyperlink w:anchor="P1042" w:history="1">
        <w:r w:rsidR="002652D6">
          <w:rPr>
            <w:color w:val="0000FF"/>
          </w:rPr>
          <w:t>Графы 6</w:t>
        </w:r>
      </w:hyperlink>
      <w:r w:rsidR="002652D6">
        <w:t xml:space="preserve"> и </w:t>
      </w:r>
      <w:hyperlink w:anchor="P1043" w:history="1">
        <w:r w:rsidR="002652D6">
          <w:rPr>
            <w:color w:val="0000FF"/>
          </w:rPr>
          <w:t>7</w:t>
        </w:r>
      </w:hyperlink>
      <w:r w:rsidR="002652D6">
        <w:t xml:space="preserve"> (из </w:t>
      </w:r>
      <w:hyperlink w:anchor="P1038" w:history="1">
        <w:r w:rsidR="002652D6">
          <w:rPr>
            <w:color w:val="0000FF"/>
          </w:rPr>
          <w:t>графы 2</w:t>
        </w:r>
      </w:hyperlink>
      <w:r w:rsidR="002652D6">
        <w:t>) характеризуют техническое состояние зданий. Они заполняются на основании актов, заключений и иных официальных документов.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44" w:history="1">
        <w:r>
          <w:rPr>
            <w:color w:val="0000FF"/>
          </w:rPr>
          <w:t>графе 8</w:t>
        </w:r>
      </w:hyperlink>
      <w:r>
        <w:t xml:space="preserve"> (из </w:t>
      </w:r>
      <w:hyperlink w:anchor="P1038" w:history="1">
        <w:r>
          <w:rPr>
            <w:color w:val="0000FF"/>
          </w:rPr>
          <w:t>графы 2</w:t>
        </w:r>
      </w:hyperlink>
      <w:r>
        <w:t>) указывается число зданий, находящихся в оперативном управлении или по договору безвозмездного пользования.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45" w:history="1">
        <w:r>
          <w:rPr>
            <w:color w:val="0000FF"/>
          </w:rPr>
          <w:t>графе 9</w:t>
        </w:r>
      </w:hyperlink>
      <w:r>
        <w:t xml:space="preserve"> (из </w:t>
      </w:r>
      <w:hyperlink w:anchor="P1038" w:history="1">
        <w:r>
          <w:rPr>
            <w:color w:val="0000FF"/>
          </w:rPr>
          <w:t>графы 2</w:t>
        </w:r>
      </w:hyperlink>
      <w:r>
        <w:t>) указывается число арендуемых зданий.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46" w:history="1">
        <w:r>
          <w:rPr>
            <w:color w:val="0000FF"/>
          </w:rPr>
          <w:t>графе 10</w:t>
        </w:r>
      </w:hyperlink>
      <w:r>
        <w:t xml:space="preserve"> (из </w:t>
      </w:r>
      <w:hyperlink w:anchor="P1038" w:history="1">
        <w:r>
          <w:rPr>
            <w:color w:val="0000FF"/>
          </w:rPr>
          <w:t>графы 2</w:t>
        </w:r>
      </w:hyperlink>
      <w:r>
        <w:t>) указывается число зданий, используемых на других правовых основаниях.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76" w:history="1">
        <w:r>
          <w:rPr>
            <w:color w:val="0000FF"/>
          </w:rPr>
          <w:t>графе 11</w:t>
        </w:r>
      </w:hyperlink>
      <w:r>
        <w:t xml:space="preserve"> указывается общее число помещений, постоянно используемых отчитывающейся организацией для осуществления культурно-досуговой деятельности.</w:t>
      </w:r>
    </w:p>
    <w:p w:rsidR="002652D6" w:rsidRDefault="002A56D6" w:rsidP="002652D6">
      <w:pPr>
        <w:pStyle w:val="ConsPlusNormal"/>
        <w:ind w:firstLine="540"/>
        <w:jc w:val="both"/>
      </w:pPr>
      <w:hyperlink w:anchor="P1077" w:history="1">
        <w:r w:rsidR="002652D6">
          <w:rPr>
            <w:color w:val="0000FF"/>
          </w:rPr>
          <w:t>Графы 12</w:t>
        </w:r>
      </w:hyperlink>
      <w:r w:rsidR="002652D6">
        <w:t xml:space="preserve"> и </w:t>
      </w:r>
      <w:hyperlink w:anchor="P1078" w:history="1">
        <w:r w:rsidR="002652D6">
          <w:rPr>
            <w:color w:val="0000FF"/>
          </w:rPr>
          <w:t>13</w:t>
        </w:r>
      </w:hyperlink>
      <w:r w:rsidR="002652D6">
        <w:t xml:space="preserve"> (из </w:t>
      </w:r>
      <w:hyperlink w:anchor="P1076" w:history="1">
        <w:r w:rsidR="002652D6">
          <w:rPr>
            <w:color w:val="0000FF"/>
          </w:rPr>
          <w:t>графы 11</w:t>
        </w:r>
      </w:hyperlink>
      <w:r w:rsidR="002652D6">
        <w:t>) характеризуют техническое состояние помещений. Они заполняются на основании актов, заключений и иных официальных документов.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79" w:history="1">
        <w:r>
          <w:rPr>
            <w:color w:val="0000FF"/>
          </w:rPr>
          <w:t>графе 14</w:t>
        </w:r>
      </w:hyperlink>
      <w:r>
        <w:t xml:space="preserve"> (из </w:t>
      </w:r>
      <w:hyperlink w:anchor="P1076" w:history="1">
        <w:r>
          <w:rPr>
            <w:color w:val="0000FF"/>
          </w:rPr>
          <w:t>графы 11</w:t>
        </w:r>
      </w:hyperlink>
      <w:r>
        <w:t>) указывается число арендованных помещений.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80" w:history="1">
        <w:r>
          <w:rPr>
            <w:color w:val="0000FF"/>
          </w:rPr>
          <w:t>графе 15</w:t>
        </w:r>
      </w:hyperlink>
      <w:r>
        <w:t xml:space="preserve"> (из </w:t>
      </w:r>
      <w:hyperlink w:anchor="P1076" w:history="1">
        <w:r>
          <w:rPr>
            <w:color w:val="0000FF"/>
          </w:rPr>
          <w:t>графы 11</w:t>
        </w:r>
      </w:hyperlink>
      <w:r>
        <w:t>) указывается количество зрительных залов. Необходимыми условиями учета таких помещений является: наличие сцены (места выступления), наличие или возможность использования радиотехнического оборудования, возможность размещения зрителей (наличие стационарно-установленных или перемещаемых зрительских кресел).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81" w:history="1">
        <w:r>
          <w:rPr>
            <w:color w:val="0000FF"/>
          </w:rPr>
          <w:t>графе 16</w:t>
        </w:r>
      </w:hyperlink>
      <w:r>
        <w:t xml:space="preserve"> указывается количество ме</w:t>
      </w:r>
      <w:proofErr w:type="gramStart"/>
      <w:r>
        <w:t>ст в зр</w:t>
      </w:r>
      <w:proofErr w:type="gramEnd"/>
      <w:r>
        <w:t>ительных залах (стационарно-установленных или перемещаемых)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82" w:history="1">
        <w:r>
          <w:rPr>
            <w:color w:val="0000FF"/>
          </w:rPr>
          <w:t>графе 17</w:t>
        </w:r>
      </w:hyperlink>
      <w:r>
        <w:t xml:space="preserve"> (из </w:t>
      </w:r>
      <w:hyperlink w:anchor="P1076" w:history="1">
        <w:r>
          <w:rPr>
            <w:color w:val="0000FF"/>
          </w:rPr>
          <w:t>графы 11</w:t>
        </w:r>
      </w:hyperlink>
      <w:r>
        <w:t>) указывается общее число помещений, используемых для различных видов культурно-досуговой деятельности (музейная и библиотечная деятельность, работа кружков, проведение репетиций, занятий и т.д.).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83" w:history="1">
        <w:r>
          <w:rPr>
            <w:color w:val="0000FF"/>
          </w:rPr>
          <w:t>графе 18</w:t>
        </w:r>
      </w:hyperlink>
      <w:r>
        <w:t xml:space="preserve"> указывается общая площадь помещений, используемых для различных видов культурно-досуговой деятельности, общее число которых приведено в </w:t>
      </w:r>
      <w:hyperlink w:anchor="P1082" w:history="1">
        <w:r>
          <w:rPr>
            <w:color w:val="0000FF"/>
          </w:rPr>
          <w:t>графе 17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84" w:history="1">
        <w:r>
          <w:rPr>
            <w:color w:val="0000FF"/>
          </w:rPr>
          <w:t>графе 19</w:t>
        </w:r>
      </w:hyperlink>
      <w:r>
        <w:t xml:space="preserve"> (из </w:t>
      </w:r>
      <w:hyperlink w:anchor="P1082" w:history="1">
        <w:r>
          <w:rPr>
            <w:color w:val="0000FF"/>
          </w:rPr>
          <w:t>графы 17</w:t>
        </w:r>
      </w:hyperlink>
      <w:r>
        <w:t>) приводится количество помещений, используемых для музейной и библиотечной деятельности.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085" w:history="1">
        <w:r>
          <w:rPr>
            <w:color w:val="0000FF"/>
          </w:rPr>
          <w:t>графах 20</w:t>
        </w:r>
      </w:hyperlink>
      <w:r>
        <w:t xml:space="preserve"> и </w:t>
      </w:r>
      <w:hyperlink w:anchor="P1086" w:history="1">
        <w:r>
          <w:rPr>
            <w:color w:val="0000FF"/>
          </w:rPr>
          <w:t>21</w:t>
        </w:r>
      </w:hyperlink>
      <w:hyperlink w:anchor="P1083" w:history="1">
        <w:r>
          <w:rPr>
            <w:color w:val="0000FF"/>
          </w:rPr>
          <w:t>(графы 18)</w:t>
        </w:r>
      </w:hyperlink>
      <w:r>
        <w:t xml:space="preserve"> указывается площадь помещений, используемых для музейной </w:t>
      </w:r>
      <w:hyperlink w:anchor="P1085" w:history="1">
        <w:r>
          <w:rPr>
            <w:color w:val="0000FF"/>
          </w:rPr>
          <w:t>(графа 20)</w:t>
        </w:r>
      </w:hyperlink>
      <w:r>
        <w:t xml:space="preserve"> и библиотечной </w:t>
      </w:r>
      <w:hyperlink w:anchor="P1086" w:history="1">
        <w:r>
          <w:rPr>
            <w:color w:val="0000FF"/>
          </w:rPr>
          <w:t>(графа 21)</w:t>
        </w:r>
      </w:hyperlink>
      <w:r>
        <w:t xml:space="preserve"> деятельности.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1" w:history="1">
        <w:r>
          <w:rPr>
            <w:color w:val="0000FF"/>
          </w:rPr>
          <w:t>графе 22</w:t>
        </w:r>
      </w:hyperlink>
      <w:r>
        <w:t xml:space="preserve"> указывается общее число </w:t>
      </w:r>
      <w:proofErr w:type="spellStart"/>
      <w:r>
        <w:t>киновидеоустановок</w:t>
      </w:r>
      <w:proofErr w:type="spellEnd"/>
      <w:r>
        <w:t xml:space="preserve">, </w:t>
      </w:r>
      <w:proofErr w:type="gramStart"/>
      <w:r>
        <w:t>используемых</w:t>
      </w:r>
      <w:proofErr w:type="gramEnd"/>
      <w:r>
        <w:t xml:space="preserve"> отчитывающейся организацией.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2" w:history="1">
        <w:r>
          <w:rPr>
            <w:color w:val="0000FF"/>
          </w:rPr>
          <w:t>графе 23</w:t>
        </w:r>
      </w:hyperlink>
      <w:r>
        <w:t xml:space="preserve"> указывается число автоматизированных рабочих мест, используемых отчитывающейся организацией в своей финансово-хозяйственной деятельности (как основных видов уставной, так и административно-управленческой деятельности). Понятие автоматизированного рабочего места предполагает наличие работоспособного компьютера, соответствующего программного обеспечения, других необходимых условий применения компьютера в заявленных целях. В случае использования персонального компьютера для осуществления нескольких различных направлений финансово-хозяйственной деятельности, при заполнении </w:t>
      </w:r>
      <w:hyperlink w:anchor="P967" w:history="1">
        <w:r>
          <w:rPr>
            <w:color w:val="0000FF"/>
          </w:rPr>
          <w:t>формы</w:t>
        </w:r>
      </w:hyperlink>
      <w:r>
        <w:t xml:space="preserve"> он учитывается как один.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3" w:history="1">
        <w:r>
          <w:rPr>
            <w:color w:val="0000FF"/>
          </w:rPr>
          <w:t>графе 24</w:t>
        </w:r>
      </w:hyperlink>
      <w:r>
        <w:t xml:space="preserve"> (из </w:t>
      </w:r>
      <w:hyperlink w:anchor="P1112" w:history="1">
        <w:r>
          <w:rPr>
            <w:color w:val="0000FF"/>
          </w:rPr>
          <w:t>графы 23</w:t>
        </w:r>
      </w:hyperlink>
      <w:r>
        <w:t>) указывается число автоматизированных рабочих мест, используемых для библиотечной деятельности.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4" w:history="1">
        <w:r>
          <w:rPr>
            <w:color w:val="0000FF"/>
          </w:rPr>
          <w:t>графе 25</w:t>
        </w:r>
      </w:hyperlink>
      <w:r>
        <w:t xml:space="preserve"> указывается информация о возможности использования информационно-телекоммуникационной сети "Интернет" (далее - Интернет) при осуществлении отчитывающейся организацией различных видов своей финансово-хозяйственной деятельности (как основных видов уставной, так и административно-управленческой деятельности). В случае наличия возможности использования Интернета в </w:t>
      </w:r>
      <w:hyperlink w:anchor="P1114" w:history="1">
        <w:r>
          <w:rPr>
            <w:color w:val="0000FF"/>
          </w:rPr>
          <w:t>графу</w:t>
        </w:r>
      </w:hyperlink>
      <w:r>
        <w:t xml:space="preserve"> проставляется значение 1, в противном случае - 0.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5" w:history="1">
        <w:r>
          <w:rPr>
            <w:color w:val="0000FF"/>
          </w:rPr>
          <w:t>графе 26</w:t>
        </w:r>
      </w:hyperlink>
      <w:r>
        <w:t xml:space="preserve"> указывается информация о возможности посетителей и участников культурно-досуговых формирований получить доступ в Интернет в помещениях отчитывающейся организации. В случае наличия такой возможности в </w:t>
      </w:r>
      <w:hyperlink w:anchor="P1115" w:history="1">
        <w:r>
          <w:rPr>
            <w:color w:val="0000FF"/>
          </w:rPr>
          <w:t>графу</w:t>
        </w:r>
      </w:hyperlink>
      <w:r>
        <w:t xml:space="preserve"> проставляется значение 1, в противном случае - 0.</w:t>
      </w:r>
    </w:p>
    <w:p w:rsidR="002652D6" w:rsidRDefault="002652D6" w:rsidP="002652D6">
      <w:pPr>
        <w:pStyle w:val="ConsPlusNormal"/>
        <w:ind w:firstLine="540"/>
        <w:jc w:val="both"/>
      </w:pPr>
      <w:r>
        <w:lastRenderedPageBreak/>
        <w:t xml:space="preserve">В </w:t>
      </w:r>
      <w:hyperlink w:anchor="P1116" w:history="1">
        <w:r>
          <w:rPr>
            <w:color w:val="0000FF"/>
          </w:rPr>
          <w:t>графе 27</w:t>
        </w:r>
      </w:hyperlink>
      <w:r>
        <w:t xml:space="preserve"> ставится 1 при наличии собственного сайта в информационно-телекоммуникационной сети "Интернет" (далее - Интернет-сайт) или страницы информационно-телекоммуникационной сети "Интернет" (далее - Интернет-страница), портала или персональной страницы учреждения на сайтах, порталах других учреждений, в противном случае - 0.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7" w:history="1">
        <w:r>
          <w:rPr>
            <w:color w:val="0000FF"/>
          </w:rPr>
          <w:t>графе 28</w:t>
        </w:r>
      </w:hyperlink>
      <w:r>
        <w:t xml:space="preserve"> ставится 1 при наличии версии собственного Интернет-сайта или Интернет-страницы, портала или персональной страницы учреждения на сайтах, порталах других учреждений, доступных для слепых и слабовидящих, в соответствии с </w:t>
      </w:r>
      <w:hyperlink r:id="rId6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52872-2012</w:t>
        </w:r>
      </w:hyperlink>
      <w:r>
        <w:t xml:space="preserve"> "Интернет-ресурсы: требования доступности для инвалидов по зрению", в противном случае - 0.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8" w:history="1">
        <w:r>
          <w:rPr>
            <w:color w:val="0000FF"/>
          </w:rPr>
          <w:t>графе 29</w:t>
        </w:r>
      </w:hyperlink>
      <w:r>
        <w:t xml:space="preserve"> указывается число специализированного оборудования для инвалидов (колясок, </w:t>
      </w:r>
      <w:proofErr w:type="spellStart"/>
      <w:r>
        <w:t>скалоходов</w:t>
      </w:r>
      <w:proofErr w:type="spellEnd"/>
      <w:r>
        <w:t xml:space="preserve"> и т.п.).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19" w:history="1">
        <w:r>
          <w:rPr>
            <w:color w:val="0000FF"/>
          </w:rPr>
          <w:t>графе 30</w:t>
        </w:r>
      </w:hyperlink>
      <w:r>
        <w:t xml:space="preserve"> указывается число имеющихся у отчитывающейся организации специализированных транспортных средств (</w:t>
      </w:r>
      <w:proofErr w:type="spellStart"/>
      <w:r>
        <w:t>библиобусы</w:t>
      </w:r>
      <w:proofErr w:type="spellEnd"/>
      <w:r>
        <w:t xml:space="preserve">, </w:t>
      </w:r>
      <w:proofErr w:type="spellStart"/>
      <w:r>
        <w:t>библиомобили</w:t>
      </w:r>
      <w:proofErr w:type="spellEnd"/>
      <w:r>
        <w:t xml:space="preserve"> и т.д.).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jc w:val="center"/>
      </w:pPr>
      <w:r>
        <w:t>Раздел 2. Культурно-досуговые формирования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31" w:history="1">
        <w:r>
          <w:rPr>
            <w:color w:val="0000FF"/>
          </w:rPr>
          <w:t>разделе</w:t>
        </w:r>
      </w:hyperlink>
      <w:r>
        <w:t xml:space="preserve"> приводятся данные по всем культурно-досуговым формированиям отчитывающейся организации (народные университеты, любительские объединения и клубы по интересам, кружки и коллективы самодеятельного народного и технического творчества, школы и курсы прикладных знаний и навыков, спортивные и тренажерные секции и т.п.), действующим на конец отчетного года. Формирования, действовавшие в течение года, но завершившие программу работы до конца отчетного года, также включаются в отчет.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Данные </w:t>
      </w:r>
      <w:hyperlink w:anchor="P1131" w:history="1">
        <w:r>
          <w:rPr>
            <w:color w:val="0000FF"/>
          </w:rPr>
          <w:t>раздела</w:t>
        </w:r>
      </w:hyperlink>
      <w:r>
        <w:t xml:space="preserve"> заполняются на основании журнала учета культурно-досуговых формирований путем подсчета числа участников в них. Лица, участвующие в нескольких кружках, секциях и пр., учитываются по каждому из них в отдельности.</w:t>
      </w:r>
    </w:p>
    <w:p w:rsidR="002652D6" w:rsidRDefault="002652D6" w:rsidP="002652D6">
      <w:pPr>
        <w:pStyle w:val="ConsPlusNormal"/>
        <w:ind w:firstLine="540"/>
        <w:jc w:val="both"/>
      </w:pPr>
      <w:r>
        <w:t>Данные содержат: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число формирований (указывается в </w:t>
      </w:r>
      <w:hyperlink w:anchor="P1167" w:history="1">
        <w:r>
          <w:rPr>
            <w:color w:val="0000FF"/>
          </w:rPr>
          <w:t>строке 02</w:t>
        </w:r>
      </w:hyperlink>
      <w:r>
        <w:t>),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численность участников в них (указывается в </w:t>
      </w:r>
      <w:hyperlink w:anchor="P1181" w:history="1">
        <w:r>
          <w:rPr>
            <w:color w:val="0000FF"/>
          </w:rPr>
          <w:t>строке 03</w:t>
        </w:r>
      </w:hyperlink>
      <w:r>
        <w:t>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54" w:history="1">
        <w:r>
          <w:rPr>
            <w:color w:val="0000FF"/>
          </w:rPr>
          <w:t>графе 3</w:t>
        </w:r>
      </w:hyperlink>
      <w:r>
        <w:t xml:space="preserve"> приводятся данные (общее число формирований и численность участников в них) по всем культурно-досуговым формированиям.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55" w:history="1">
        <w:r>
          <w:rPr>
            <w:color w:val="0000FF"/>
          </w:rPr>
          <w:t>графе 4</w:t>
        </w:r>
      </w:hyperlink>
      <w:r>
        <w:t xml:space="preserve"> приводятся данные по формированиям для детей до 14 лет (включительно).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56" w:history="1">
        <w:r>
          <w:rPr>
            <w:color w:val="0000FF"/>
          </w:rPr>
          <w:t>графе 5</w:t>
        </w:r>
      </w:hyperlink>
      <w:r>
        <w:t xml:space="preserve"> приводятся данные по формированиям для молодежи от 15 до 24 лет (включительно).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57" w:history="1">
        <w:r>
          <w:rPr>
            <w:color w:val="0000FF"/>
          </w:rPr>
          <w:t>графе 6</w:t>
        </w:r>
      </w:hyperlink>
      <w:r>
        <w:t xml:space="preserve"> (из </w:t>
      </w:r>
      <w:hyperlink w:anchor="P1154" w:history="1">
        <w:r>
          <w:rPr>
            <w:color w:val="0000FF"/>
          </w:rPr>
          <w:t>графы 3</w:t>
        </w:r>
      </w:hyperlink>
      <w:r>
        <w:t>) приводятся данные по формированиям, относящимся к любительским объединениям, группам, клубам по интересам.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58" w:history="1">
        <w:r>
          <w:rPr>
            <w:color w:val="0000FF"/>
          </w:rPr>
          <w:t>графе 7</w:t>
        </w:r>
      </w:hyperlink>
      <w:r>
        <w:t xml:space="preserve"> (из </w:t>
      </w:r>
      <w:hyperlink w:anchor="P1154" w:history="1">
        <w:r>
          <w:rPr>
            <w:color w:val="0000FF"/>
          </w:rPr>
          <w:t>графы 3</w:t>
        </w:r>
      </w:hyperlink>
      <w:r>
        <w:t>) приводятся данные по инклюзивным формированиям, т.е. включающим в состав инвалидов и лиц с ограниченными возможностями здоровья (далее - ОВЗ).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59" w:history="1">
        <w:r>
          <w:rPr>
            <w:color w:val="0000FF"/>
          </w:rPr>
          <w:t>графе 8</w:t>
        </w:r>
      </w:hyperlink>
      <w:r>
        <w:t xml:space="preserve"> (из </w:t>
      </w:r>
      <w:hyperlink w:anchor="P1154" w:history="1">
        <w:r>
          <w:rPr>
            <w:color w:val="0000FF"/>
          </w:rPr>
          <w:t>графы 3</w:t>
        </w:r>
      </w:hyperlink>
      <w:r>
        <w:t>) приводятся данные по прочим клубным формированиям: кружкам, творческим коллективам, секциям, студиям любительского художественного, декоративно-прикладного, изобразительного и технического творчества, занятиям на факультетах народных университетов, курсам прикладных знаний и навыков, творческим лабораториям.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60" w:history="1">
        <w:r>
          <w:rPr>
            <w:color w:val="0000FF"/>
          </w:rPr>
          <w:t>графах 9</w:t>
        </w:r>
      </w:hyperlink>
      <w:r>
        <w:t xml:space="preserve"> - </w:t>
      </w:r>
      <w:hyperlink w:anchor="P1162" w:history="1">
        <w:r>
          <w:rPr>
            <w:color w:val="0000FF"/>
          </w:rPr>
          <w:t>11</w:t>
        </w:r>
      </w:hyperlink>
      <w:r>
        <w:t xml:space="preserve"> (из </w:t>
      </w:r>
      <w:hyperlink w:anchor="P1159" w:history="1">
        <w:r>
          <w:rPr>
            <w:color w:val="0000FF"/>
          </w:rPr>
          <w:t>графы 8</w:t>
        </w:r>
      </w:hyperlink>
      <w:r>
        <w:t>) приводятся данные по прочим клубным формированиям, в том числе: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данные по прочим клубным формированиям для детей до 14 лет включительно </w:t>
      </w:r>
      <w:hyperlink w:anchor="P1160" w:history="1">
        <w:r>
          <w:rPr>
            <w:color w:val="0000FF"/>
          </w:rPr>
          <w:t>(графа 9)</w:t>
        </w:r>
      </w:hyperlink>
      <w:r>
        <w:t>;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данные по прочим клубным формированиям для молодежи от 15 до 24 лет включительно </w:t>
      </w:r>
      <w:hyperlink w:anchor="P1161" w:history="1">
        <w:r>
          <w:rPr>
            <w:color w:val="0000FF"/>
          </w:rPr>
          <w:t>(графа 10)</w:t>
        </w:r>
      </w:hyperlink>
      <w:r>
        <w:t>;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данные по клубным формированиям самодеятельного народного творчества </w:t>
      </w:r>
      <w:hyperlink w:anchor="P1162" w:history="1">
        <w:r>
          <w:rPr>
            <w:color w:val="0000FF"/>
          </w:rPr>
          <w:t>(графа 11)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163" w:history="1">
        <w:r>
          <w:rPr>
            <w:color w:val="0000FF"/>
          </w:rPr>
          <w:t>графах 12</w:t>
        </w:r>
      </w:hyperlink>
      <w:r>
        <w:t xml:space="preserve"> - </w:t>
      </w:r>
      <w:hyperlink w:anchor="P1165" w:history="1">
        <w:r>
          <w:rPr>
            <w:color w:val="0000FF"/>
          </w:rPr>
          <w:t>14</w:t>
        </w:r>
      </w:hyperlink>
      <w:r>
        <w:t xml:space="preserve"> (из </w:t>
      </w:r>
      <w:hyperlink w:anchor="P1162" w:history="1">
        <w:r>
          <w:rPr>
            <w:color w:val="0000FF"/>
          </w:rPr>
          <w:t>графы 11</w:t>
        </w:r>
      </w:hyperlink>
      <w:r>
        <w:t xml:space="preserve">) приводятся данные по клубным формированиям самодеятельного народного творчества для детей до 14 лет включительно </w:t>
      </w:r>
      <w:hyperlink w:anchor="P1163" w:history="1">
        <w:r>
          <w:rPr>
            <w:color w:val="0000FF"/>
          </w:rPr>
          <w:t>(графа 12)</w:t>
        </w:r>
      </w:hyperlink>
      <w:r>
        <w:t xml:space="preserve">, для молодежи от 15 до 24 лет включительно </w:t>
      </w:r>
      <w:hyperlink w:anchor="P1164" w:history="1">
        <w:r>
          <w:rPr>
            <w:color w:val="0000FF"/>
          </w:rPr>
          <w:t>(графа 13)</w:t>
        </w:r>
      </w:hyperlink>
      <w:r>
        <w:t xml:space="preserve">, и клубным формированиям самодеятельного народного творчества, работающим на платной основе </w:t>
      </w:r>
      <w:hyperlink w:anchor="P1165" w:history="1">
        <w:r>
          <w:rPr>
            <w:color w:val="0000FF"/>
          </w:rPr>
          <w:t>(графа 14)</w:t>
        </w:r>
      </w:hyperlink>
      <w:r>
        <w:t xml:space="preserve"> соответственно.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13" w:history="1">
        <w:r>
          <w:rPr>
            <w:color w:val="0000FF"/>
          </w:rPr>
          <w:t>графах 15</w:t>
        </w:r>
      </w:hyperlink>
      <w:r>
        <w:t xml:space="preserve"> - </w:t>
      </w:r>
      <w:hyperlink w:anchor="P1222" w:history="1">
        <w:r>
          <w:rPr>
            <w:color w:val="0000FF"/>
          </w:rPr>
          <w:t>24</w:t>
        </w:r>
      </w:hyperlink>
      <w:r>
        <w:t xml:space="preserve"> (из </w:t>
      </w:r>
      <w:hyperlink w:anchor="P1162" w:history="1">
        <w:r>
          <w:rPr>
            <w:color w:val="0000FF"/>
          </w:rPr>
          <w:t>графы 11</w:t>
        </w:r>
      </w:hyperlink>
      <w:r>
        <w:t>) приводятся данные по различным видам клубных формирований самодеятельного народного творчества, в том числе: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</w:t>
      </w:r>
      <w:proofErr w:type="gramStart"/>
      <w:r>
        <w:t>хоровым</w:t>
      </w:r>
      <w:proofErr w:type="gramEnd"/>
      <w:r w:rsidR="002A56D6">
        <w:fldChar w:fldCharType="begin"/>
      </w:r>
      <w:r w:rsidR="004B7D64">
        <w:instrText>HYPERLINK \l "P1213"</w:instrText>
      </w:r>
      <w:r w:rsidR="002A56D6">
        <w:fldChar w:fldCharType="separate"/>
      </w:r>
      <w:r>
        <w:rPr>
          <w:color w:val="0000FF"/>
        </w:rPr>
        <w:t>(графа 15)</w:t>
      </w:r>
      <w:r w:rsidR="002A56D6">
        <w:fldChar w:fldCharType="end"/>
      </w:r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</w:t>
      </w:r>
      <w:proofErr w:type="gramStart"/>
      <w:r>
        <w:t>хореографическим</w:t>
      </w:r>
      <w:proofErr w:type="gramEnd"/>
      <w:r w:rsidR="002A56D6">
        <w:fldChar w:fldCharType="begin"/>
      </w:r>
      <w:r w:rsidR="004B7D64">
        <w:instrText>HYPERLINK \l "P1214"</w:instrText>
      </w:r>
      <w:r w:rsidR="002A56D6">
        <w:fldChar w:fldCharType="separate"/>
      </w:r>
      <w:r>
        <w:rPr>
          <w:color w:val="0000FF"/>
        </w:rPr>
        <w:t>(графа 16)</w:t>
      </w:r>
      <w:r w:rsidR="002A56D6">
        <w:fldChar w:fldCharType="end"/>
      </w:r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lastRenderedPageBreak/>
        <w:t xml:space="preserve">- </w:t>
      </w:r>
      <w:proofErr w:type="gramStart"/>
      <w:r>
        <w:t>театральным</w:t>
      </w:r>
      <w:proofErr w:type="gramEnd"/>
      <w:r w:rsidR="002A56D6">
        <w:fldChar w:fldCharType="begin"/>
      </w:r>
      <w:r w:rsidR="004B7D64">
        <w:instrText>HYPERLINK \l "P1215"</w:instrText>
      </w:r>
      <w:r w:rsidR="002A56D6">
        <w:fldChar w:fldCharType="separate"/>
      </w:r>
      <w:r>
        <w:rPr>
          <w:color w:val="0000FF"/>
        </w:rPr>
        <w:t>(графа 17)</w:t>
      </w:r>
      <w:r w:rsidR="002A56D6">
        <w:fldChar w:fldCharType="end"/>
      </w:r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оркестрам народных инструментов </w:t>
      </w:r>
      <w:hyperlink w:anchor="P1216" w:history="1">
        <w:r>
          <w:rPr>
            <w:color w:val="0000FF"/>
          </w:rPr>
          <w:t>(графа 18)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оркестрам духовых инструментов </w:t>
      </w:r>
      <w:hyperlink w:anchor="P1217" w:history="1">
        <w:r>
          <w:rPr>
            <w:color w:val="0000FF"/>
          </w:rPr>
          <w:t>(граф 19)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</w:t>
      </w:r>
      <w:proofErr w:type="gramStart"/>
      <w:r>
        <w:t>фольклорным</w:t>
      </w:r>
      <w:proofErr w:type="gramEnd"/>
      <w:r w:rsidR="002A56D6">
        <w:fldChar w:fldCharType="begin"/>
      </w:r>
      <w:r w:rsidR="004B7D64">
        <w:instrText>HYPERLINK \l "P1218"</w:instrText>
      </w:r>
      <w:r w:rsidR="002A56D6">
        <w:fldChar w:fldCharType="separate"/>
      </w:r>
      <w:r>
        <w:rPr>
          <w:color w:val="0000FF"/>
        </w:rPr>
        <w:t>(графа 20)</w:t>
      </w:r>
      <w:r w:rsidR="002A56D6">
        <w:fldChar w:fldCharType="end"/>
      </w:r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изобразительного искусства </w:t>
      </w:r>
      <w:hyperlink w:anchor="P1219" w:history="1">
        <w:r>
          <w:rPr>
            <w:color w:val="0000FF"/>
          </w:rPr>
          <w:t>(графа 21)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декоративно-прикладного искусства </w:t>
      </w:r>
      <w:hyperlink w:anchor="P1220" w:history="1">
        <w:r>
          <w:rPr>
            <w:color w:val="0000FF"/>
          </w:rPr>
          <w:t>(графа 22)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кино-фотолюбителей </w:t>
      </w:r>
      <w:hyperlink w:anchor="P1221" w:history="1">
        <w:r>
          <w:rPr>
            <w:color w:val="0000FF"/>
          </w:rPr>
          <w:t>(графа 23)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- прочим </w:t>
      </w:r>
      <w:hyperlink w:anchor="P1222" w:history="1">
        <w:r>
          <w:rPr>
            <w:color w:val="0000FF"/>
          </w:rPr>
          <w:t>(графа 24)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23" w:history="1">
        <w:r>
          <w:rPr>
            <w:color w:val="0000FF"/>
          </w:rPr>
          <w:t>графах 25</w:t>
        </w:r>
      </w:hyperlink>
      <w:r>
        <w:t xml:space="preserve"> - </w:t>
      </w:r>
      <w:hyperlink w:anchor="P1226" w:history="1">
        <w:r>
          <w:rPr>
            <w:color w:val="0000FF"/>
          </w:rPr>
          <w:t>28</w:t>
        </w:r>
      </w:hyperlink>
      <w:r>
        <w:t xml:space="preserve"> (из </w:t>
      </w:r>
      <w:hyperlink w:anchor="P1162" w:history="1">
        <w:r>
          <w:rPr>
            <w:color w:val="0000FF"/>
          </w:rPr>
          <w:t>графы 11</w:t>
        </w:r>
      </w:hyperlink>
      <w:r>
        <w:t xml:space="preserve">) приводятся данные по коллективам, имеющим звание "народный" </w:t>
      </w:r>
      <w:hyperlink w:anchor="P1223" w:history="1">
        <w:r>
          <w:rPr>
            <w:color w:val="0000FF"/>
          </w:rPr>
          <w:t>(графа 25)</w:t>
        </w:r>
      </w:hyperlink>
      <w:r>
        <w:t xml:space="preserve">, "образцовый" </w:t>
      </w:r>
      <w:hyperlink w:anchor="P1224" w:history="1">
        <w:r>
          <w:rPr>
            <w:color w:val="0000FF"/>
          </w:rPr>
          <w:t>(графа 26)</w:t>
        </w:r>
      </w:hyperlink>
      <w:r>
        <w:t xml:space="preserve">, "заслуженный коллектив народного творчества" </w:t>
      </w:r>
      <w:hyperlink w:anchor="P1225" w:history="1">
        <w:r>
          <w:rPr>
            <w:color w:val="0000FF"/>
          </w:rPr>
          <w:t>(графа 27)</w:t>
        </w:r>
      </w:hyperlink>
      <w:r>
        <w:t xml:space="preserve">, "лауреат международного (всероссийского) конкурса (фестиваля)" </w:t>
      </w:r>
      <w:hyperlink w:anchor="P1226" w:history="1">
        <w:r>
          <w:rPr>
            <w:color w:val="0000FF"/>
          </w:rPr>
          <w:t>(графа 28)</w:t>
        </w:r>
      </w:hyperlink>
      <w:r>
        <w:t>. Указанные данные заполняются на основании свидетельства Минкультуры России установленного образца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jc w:val="center"/>
      </w:pPr>
      <w:r>
        <w:t>3. Культурно-массовые мероприятия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58" w:history="1">
        <w:r>
          <w:rPr>
            <w:color w:val="0000FF"/>
          </w:rPr>
          <w:t>разделе</w:t>
        </w:r>
      </w:hyperlink>
      <w:r>
        <w:t xml:space="preserve"> приводятся данные о культурно-массовых мероприятиях, проведенных респондентом в отчетный период. Под культурно-массовыми мероприятиями понимаются культурно-досуговые мероприятия (вечера отдыха, чествования, кин</w:t>
      </w:r>
      <w:proofErr w:type="gramStart"/>
      <w:r>
        <w:t>о-</w:t>
      </w:r>
      <w:proofErr w:type="gramEnd"/>
      <w:r>
        <w:t xml:space="preserve"> и тематические вечера, выпускные, танцевальные/дискотеки, балы, праздники, игровые программы и др.), а также информационно-просветительские мероприятия (литературно-музыкальные, </w:t>
      </w:r>
      <w:proofErr w:type="spellStart"/>
      <w:r>
        <w:t>видеогостиные</w:t>
      </w:r>
      <w:proofErr w:type="spellEnd"/>
      <w:r>
        <w:t xml:space="preserve">, встречи с деятелями культуры, науки, литературы, форумы, конференции, симпозиумы, съезды, круглые столы, семинары, мастер-классы, экспедиции, лекционные мероприятия, презентации). Классификация мероприятий должна соответствовать </w:t>
      </w:r>
      <w:hyperlink r:id="rId7" w:history="1">
        <w:r>
          <w:rPr>
            <w:color w:val="0000FF"/>
          </w:rPr>
          <w:t>номенклатуре</w:t>
        </w:r>
      </w:hyperlink>
      <w:r>
        <w:t xml:space="preserve"> государственных и муниципальных услуг/работ, выполняемых организациями культурно-досугового типа Российской Федерации, которая определена распоряжением Минкультуры России N р-6 от 18.09.2009.</w:t>
      </w:r>
    </w:p>
    <w:p w:rsidR="002652D6" w:rsidRDefault="002652D6" w:rsidP="002652D6">
      <w:pPr>
        <w:pStyle w:val="ConsPlusNormal"/>
        <w:ind w:firstLine="540"/>
        <w:jc w:val="both"/>
      </w:pPr>
      <w:r>
        <w:t>Данные о культурно-массовых мероприятиях и посещениях на них включают: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число мероприятий всего, проведенных в отчетный период (указывается в </w:t>
      </w:r>
      <w:hyperlink w:anchor="P1291" w:history="1">
        <w:r>
          <w:rPr>
            <w:color w:val="0000FF"/>
          </w:rPr>
          <w:t>строке 04</w:t>
        </w:r>
      </w:hyperlink>
      <w:r>
        <w:t>),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число посещений мероприятий, отраженных в </w:t>
      </w:r>
      <w:hyperlink w:anchor="P1291" w:history="1">
        <w:r>
          <w:rPr>
            <w:color w:val="0000FF"/>
          </w:rPr>
          <w:t>строке 04</w:t>
        </w:r>
      </w:hyperlink>
      <w:r>
        <w:t xml:space="preserve"> (указывается в </w:t>
      </w:r>
      <w:hyperlink w:anchor="P1304" w:history="1">
        <w:r>
          <w:rPr>
            <w:color w:val="0000FF"/>
          </w:rPr>
          <w:t>строке 05</w:t>
        </w:r>
      </w:hyperlink>
      <w:r>
        <w:t>),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число мероприятий, проведенных в отчетный период на платной основе (из </w:t>
      </w:r>
      <w:hyperlink w:anchor="P1291" w:history="1">
        <w:r>
          <w:rPr>
            <w:color w:val="0000FF"/>
          </w:rPr>
          <w:t>строки 04</w:t>
        </w:r>
      </w:hyperlink>
      <w:r>
        <w:t xml:space="preserve">) (указывается в </w:t>
      </w:r>
      <w:hyperlink w:anchor="P1317" w:history="1">
        <w:r>
          <w:rPr>
            <w:color w:val="0000FF"/>
          </w:rPr>
          <w:t>строке 06</w:t>
        </w:r>
      </w:hyperlink>
      <w:r>
        <w:t>),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число посещений платных мероприятий, отраженных в </w:t>
      </w:r>
      <w:hyperlink w:anchor="P1317" w:history="1">
        <w:r>
          <w:rPr>
            <w:color w:val="0000FF"/>
          </w:rPr>
          <w:t>строке 06</w:t>
        </w:r>
      </w:hyperlink>
      <w:r>
        <w:t xml:space="preserve"> (из </w:t>
      </w:r>
      <w:hyperlink w:anchor="P1304" w:history="1">
        <w:r>
          <w:rPr>
            <w:color w:val="0000FF"/>
          </w:rPr>
          <w:t>строки 05</w:t>
        </w:r>
      </w:hyperlink>
      <w:r>
        <w:t xml:space="preserve">) (указывается в </w:t>
      </w:r>
      <w:hyperlink w:anchor="P1330" w:history="1">
        <w:r>
          <w:rPr>
            <w:color w:val="0000FF"/>
          </w:rPr>
          <w:t>строке 07</w:t>
        </w:r>
      </w:hyperlink>
      <w:r>
        <w:t>).</w:t>
      </w:r>
    </w:p>
    <w:p w:rsidR="002652D6" w:rsidRDefault="002652D6" w:rsidP="002652D6">
      <w:pPr>
        <w:pStyle w:val="ConsPlusNormal"/>
        <w:ind w:firstLine="540"/>
        <w:jc w:val="both"/>
      </w:pPr>
      <w:r>
        <w:t>Данные о культурно-массовых мероприятиях приводятся на основании содержания первичных учетных документов (журналов, отчетов и т.д.). Число посещений культурно-массовых мероприятий, которые учитываются вовходным билетам или приглашениям (платным или бесплатным, также по листкам списка участников). Число посещений платных мероприятий должно совпадать с количеством проданных билетов или приглашений.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79" w:history="1">
        <w:r>
          <w:rPr>
            <w:color w:val="0000FF"/>
          </w:rPr>
          <w:t>графе 3</w:t>
        </w:r>
      </w:hyperlink>
      <w:r>
        <w:t xml:space="preserve"> указываются данные о культурно-массовых мероприятиях, проведенных в отчетном периоде.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80" w:history="1">
        <w:r>
          <w:rPr>
            <w:color w:val="0000FF"/>
          </w:rPr>
          <w:t>графах 4</w:t>
        </w:r>
      </w:hyperlink>
      <w:r>
        <w:t xml:space="preserve"> и </w:t>
      </w:r>
      <w:hyperlink w:anchor="P1281" w:history="1">
        <w:r>
          <w:rPr>
            <w:color w:val="0000FF"/>
          </w:rPr>
          <w:t>5</w:t>
        </w:r>
      </w:hyperlink>
      <w:r>
        <w:t xml:space="preserve"> (из </w:t>
      </w:r>
      <w:hyperlink w:anchor="P1279" w:history="1">
        <w:r>
          <w:rPr>
            <w:color w:val="0000FF"/>
          </w:rPr>
          <w:t>графы 3</w:t>
        </w:r>
      </w:hyperlink>
      <w:r>
        <w:t xml:space="preserve">), указываются данные о культурно-массовых мероприятиях, проведенных в отчетном периоде для детей до 14 лет включительно </w:t>
      </w:r>
      <w:hyperlink w:anchor="P1280" w:history="1">
        <w:r>
          <w:rPr>
            <w:color w:val="0000FF"/>
          </w:rPr>
          <w:t>(графа 4)</w:t>
        </w:r>
      </w:hyperlink>
      <w:r>
        <w:t xml:space="preserve"> и молодежи от 15 до 24 лет включительно </w:t>
      </w:r>
      <w:hyperlink w:anchor="P1281" w:history="1">
        <w:r>
          <w:rPr>
            <w:color w:val="0000FF"/>
          </w:rPr>
          <w:t>(графа 5)</w:t>
        </w:r>
      </w:hyperlink>
      <w:r>
        <w:t xml:space="preserve"> соответственно.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82" w:history="1">
        <w:r>
          <w:rPr>
            <w:color w:val="0000FF"/>
          </w:rPr>
          <w:t>графе 6</w:t>
        </w:r>
      </w:hyperlink>
      <w:r>
        <w:t xml:space="preserve"> (из </w:t>
      </w:r>
      <w:hyperlink w:anchor="P1279" w:history="1">
        <w:r>
          <w:rPr>
            <w:color w:val="0000FF"/>
          </w:rPr>
          <w:t>графы 3</w:t>
        </w:r>
      </w:hyperlink>
      <w:r>
        <w:t>) указываются данные о культурно-досуговых мероприятиях, проведенных в отчетном периоде.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283" w:history="1">
        <w:r>
          <w:rPr>
            <w:color w:val="0000FF"/>
          </w:rPr>
          <w:t>графах 7</w:t>
        </w:r>
      </w:hyperlink>
      <w:r>
        <w:t xml:space="preserve"> - </w:t>
      </w:r>
      <w:hyperlink w:anchor="P1286" w:history="1">
        <w:r>
          <w:rPr>
            <w:color w:val="0000FF"/>
          </w:rPr>
          <w:t>10</w:t>
        </w:r>
      </w:hyperlink>
      <w:r>
        <w:t xml:space="preserve"> (из </w:t>
      </w:r>
      <w:hyperlink w:anchor="P1282" w:history="1">
        <w:r>
          <w:rPr>
            <w:color w:val="0000FF"/>
          </w:rPr>
          <w:t>графы 6</w:t>
        </w:r>
      </w:hyperlink>
      <w:r>
        <w:t>) указываются данные о некоторых видах культурно-досуговых мероприятий, проведенных в отчетном периоде, в т.ч.: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данные о культурно-досуговых мероприятиях для детей до 14 лет включительно </w:t>
      </w:r>
      <w:hyperlink w:anchor="P1283" w:history="1">
        <w:r>
          <w:rPr>
            <w:color w:val="0000FF"/>
          </w:rPr>
          <w:t>(графа 7)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данные о культурно-досуговых мероприятиях для молодежи от 15 до 24 лет включительно </w:t>
      </w:r>
      <w:hyperlink w:anchor="P1284" w:history="1">
        <w:r>
          <w:rPr>
            <w:color w:val="0000FF"/>
          </w:rPr>
          <w:t>(графа 8)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данные о </w:t>
      </w:r>
      <w:proofErr w:type="gramStart"/>
      <w:r>
        <w:t>кино-видео сеансах</w:t>
      </w:r>
      <w:proofErr w:type="gramEnd"/>
      <w:r w:rsidR="002A56D6">
        <w:fldChar w:fldCharType="begin"/>
      </w:r>
      <w:r w:rsidR="004B7D64">
        <w:instrText>HYPERLINK \l "P1285"</w:instrText>
      </w:r>
      <w:r w:rsidR="002A56D6">
        <w:fldChar w:fldCharType="separate"/>
      </w:r>
      <w:r>
        <w:rPr>
          <w:color w:val="0000FF"/>
        </w:rPr>
        <w:t>(графа 9)</w:t>
      </w:r>
      <w:r w:rsidR="002A56D6">
        <w:fldChar w:fldCharType="end"/>
      </w:r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данные о танцевальных вечерах и дискотеках </w:t>
      </w:r>
      <w:hyperlink w:anchor="P1286" w:history="1">
        <w:r>
          <w:rPr>
            <w:color w:val="0000FF"/>
          </w:rPr>
          <w:t>(графа 10)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proofErr w:type="gramStart"/>
      <w:r>
        <w:t xml:space="preserve">В </w:t>
      </w:r>
      <w:hyperlink w:anchor="P1287" w:history="1">
        <w:r>
          <w:rPr>
            <w:color w:val="0000FF"/>
          </w:rPr>
          <w:t>графе 11</w:t>
        </w:r>
      </w:hyperlink>
      <w:r>
        <w:t xml:space="preserve"> (из </w:t>
      </w:r>
      <w:hyperlink w:anchor="P1279" w:history="1">
        <w:r>
          <w:rPr>
            <w:color w:val="0000FF"/>
          </w:rPr>
          <w:t>графы 3</w:t>
        </w:r>
      </w:hyperlink>
      <w:r>
        <w:t>) указываются данные о массовых информационно-просветительских мероприятиях, проведенных отчитывающейся организацией в отчетной период.</w:t>
      </w:r>
      <w:proofErr w:type="gramEnd"/>
    </w:p>
    <w:p w:rsidR="002652D6" w:rsidRDefault="002652D6" w:rsidP="002652D6">
      <w:pPr>
        <w:pStyle w:val="ConsPlusNormal"/>
        <w:ind w:firstLine="540"/>
        <w:jc w:val="both"/>
      </w:pPr>
      <w:r>
        <w:lastRenderedPageBreak/>
        <w:t xml:space="preserve">В </w:t>
      </w:r>
      <w:hyperlink w:anchor="P1288" w:history="1">
        <w:r>
          <w:rPr>
            <w:color w:val="0000FF"/>
          </w:rPr>
          <w:t>графе 12</w:t>
        </w:r>
      </w:hyperlink>
      <w:r>
        <w:t xml:space="preserve"> (из </w:t>
      </w:r>
      <w:hyperlink w:anchor="P1279" w:history="1">
        <w:r>
          <w:rPr>
            <w:color w:val="0000FF"/>
          </w:rPr>
          <w:t>графы 3</w:t>
        </w:r>
      </w:hyperlink>
      <w:r>
        <w:t>) указываются данные о мероприятиях, проводимых с привлечением инвалидов и лиц с ОВЗ в качестве участников мероприятий.</w:t>
      </w:r>
    </w:p>
    <w:p w:rsidR="002652D6" w:rsidRDefault="002652D6" w:rsidP="002652D6">
      <w:pPr>
        <w:pStyle w:val="ConsPlusNormal"/>
        <w:ind w:firstLine="540"/>
        <w:jc w:val="both"/>
      </w:pPr>
      <w:proofErr w:type="gramStart"/>
      <w:r>
        <w:t xml:space="preserve">В </w:t>
      </w:r>
      <w:hyperlink w:anchor="P1289" w:history="1">
        <w:r>
          <w:rPr>
            <w:color w:val="0000FF"/>
          </w:rPr>
          <w:t>графе 13</w:t>
        </w:r>
      </w:hyperlink>
      <w:r>
        <w:t xml:space="preserve"> (из </w:t>
      </w:r>
      <w:hyperlink w:anchor="P1279" w:history="1">
        <w:r>
          <w:rPr>
            <w:color w:val="0000FF"/>
          </w:rPr>
          <w:t>графы 3</w:t>
        </w:r>
      </w:hyperlink>
      <w:r>
        <w:t xml:space="preserve">) указываются данные о мероприятиях, доступных для восприятия инвалидами и лицами с ОВЗ, т.е. оснащенных </w:t>
      </w:r>
      <w:proofErr w:type="spellStart"/>
      <w:r>
        <w:t>тифлокомментариями</w:t>
      </w:r>
      <w:proofErr w:type="spellEnd"/>
      <w:r>
        <w:t xml:space="preserve"> (для слепых и слабовидящих), FM-системами со вспомогательным оборудованием или табло "Бегущая строка" с комплектом пассивного и активного коммутационного оборудования для подключения (для лиц с нарушениями слуха), а также учитывающих размещение зрителей на креслах-колясках равномерно по объекту в пределах</w:t>
      </w:r>
      <w:proofErr w:type="gramEnd"/>
      <w:r>
        <w:t xml:space="preserve"> общей посадочной зоны или на специально отведенной для инвалидов на колясках территории, не ограничивающей восприятие мероприятия.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jc w:val="center"/>
      </w:pPr>
      <w:r>
        <w:t>Раздел 4. Фонды музеев, музейная деятельность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43" w:history="1">
        <w:r>
          <w:rPr>
            <w:color w:val="0000FF"/>
          </w:rPr>
          <w:t>разделе</w:t>
        </w:r>
      </w:hyperlink>
      <w:r>
        <w:t xml:space="preserve"> приводятся данные о состоянии фондов музея и музейной деятельности. Если отчитывающаяся организация не осуществляет музейной деятельности, то данный </w:t>
      </w:r>
      <w:hyperlink w:anchor="P1343" w:history="1">
        <w:r>
          <w:rPr>
            <w:color w:val="0000FF"/>
          </w:rPr>
          <w:t>раздел</w:t>
        </w:r>
      </w:hyperlink>
      <w:r>
        <w:t xml:space="preserve"> не заполняется.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57" w:history="1">
        <w:r>
          <w:rPr>
            <w:color w:val="0000FF"/>
          </w:rPr>
          <w:t>графах 2</w:t>
        </w:r>
      </w:hyperlink>
      <w:r>
        <w:t xml:space="preserve"> - </w:t>
      </w:r>
      <w:hyperlink w:anchor="P1360" w:history="1">
        <w:r>
          <w:rPr>
            <w:color w:val="0000FF"/>
          </w:rPr>
          <w:t>5</w:t>
        </w:r>
      </w:hyperlink>
      <w:r>
        <w:t xml:space="preserve"> приводятся сведения об имеющихся у отчитывающейся организации на конец отчетного периода экспонатах музейного фонда. Сведения приводятся в соответствии с инструктивными документами по учету и хранению музейных фондов.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61" w:history="1">
        <w:r>
          <w:rPr>
            <w:color w:val="0000FF"/>
          </w:rPr>
          <w:t>графе 6</w:t>
        </w:r>
      </w:hyperlink>
      <w:r>
        <w:t xml:space="preserve"> (из </w:t>
      </w:r>
      <w:hyperlink w:anchor="P1357" w:history="1">
        <w:r>
          <w:rPr>
            <w:color w:val="0000FF"/>
          </w:rPr>
          <w:t>графы 2</w:t>
        </w:r>
      </w:hyperlink>
      <w:r>
        <w:t>) приводятся данные о количестве экспонатов музейного фонда, которые экспонировались в течение отчетного периода.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62" w:history="1">
        <w:r>
          <w:rPr>
            <w:color w:val="0000FF"/>
          </w:rPr>
          <w:t>графе 7</w:t>
        </w:r>
      </w:hyperlink>
      <w:r>
        <w:t xml:space="preserve"> указывается число посещений музея за отчетный период. Число посещений определяется как сумма числа индивидуальных посещений по входным билетам (платным и бесплатным) и числа посещений по билетам на экскурсионное обслуживание и экскурсионным путевкам.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63" w:history="1">
        <w:r>
          <w:rPr>
            <w:color w:val="0000FF"/>
          </w:rPr>
          <w:t>графе 8</w:t>
        </w:r>
      </w:hyperlink>
      <w:r>
        <w:t xml:space="preserve"> (из </w:t>
      </w:r>
      <w:hyperlink w:anchor="P1362" w:history="1">
        <w:r>
          <w:rPr>
            <w:color w:val="0000FF"/>
          </w:rPr>
          <w:t>графы 7</w:t>
        </w:r>
      </w:hyperlink>
      <w:r>
        <w:t>) указывается число посещений музея (как по индивидуальным билетам, так и по билетам на экскурсионное обслуживание и экскурсионными путевкам) школьниками, учащимися и студентами.</w:t>
      </w:r>
    </w:p>
    <w:p w:rsidR="002652D6" w:rsidRDefault="002A56D6" w:rsidP="002652D6">
      <w:pPr>
        <w:pStyle w:val="ConsPlusNormal"/>
        <w:ind w:firstLine="540"/>
        <w:jc w:val="both"/>
      </w:pPr>
      <w:hyperlink w:anchor="P1362" w:history="1">
        <w:r w:rsidR="002652D6">
          <w:rPr>
            <w:color w:val="0000FF"/>
          </w:rPr>
          <w:t>Графы 7</w:t>
        </w:r>
      </w:hyperlink>
      <w:r w:rsidR="002652D6">
        <w:t xml:space="preserve"> и </w:t>
      </w:r>
      <w:hyperlink w:anchor="P1363" w:history="1">
        <w:r w:rsidR="002652D6">
          <w:rPr>
            <w:color w:val="0000FF"/>
          </w:rPr>
          <w:t>8</w:t>
        </w:r>
      </w:hyperlink>
      <w:r w:rsidR="002652D6">
        <w:t xml:space="preserve"> заполняются в соответствии с данными журнала по учету посетителей.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jc w:val="center"/>
      </w:pPr>
      <w:r>
        <w:t>Раздел 5. Персонал учреждения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2" w:history="1">
        <w:r>
          <w:rPr>
            <w:color w:val="0000FF"/>
          </w:rPr>
          <w:t>графе 2</w:t>
        </w:r>
      </w:hyperlink>
      <w:r>
        <w:t xml:space="preserve"> приводятся сведения об общей численности работников, как штатных, так и нештатных, включая административно-управленческий, технический и обслуживающий персонал, на конец отчетного года. </w:t>
      </w:r>
      <w:proofErr w:type="gramStart"/>
      <w:r>
        <w:t>Приводятся сведения о фактической численности работников, работающих на условиях полной и частичной занятости, а не по штатному расписанию (примечание: если штатный работник совмещает должности, то он учитывается один раз по основной должности; если штатный работник помимо основной должности работает по договору, то он учитывается дважды, трижды, ... (в зависимости от числа заключенных договоров)).</w:t>
      </w:r>
      <w:proofErr w:type="gramEnd"/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3" w:history="1">
        <w:r>
          <w:rPr>
            <w:color w:val="0000FF"/>
          </w:rPr>
          <w:t>графе 3</w:t>
        </w:r>
      </w:hyperlink>
      <w:r>
        <w:t xml:space="preserve"> (из </w:t>
      </w:r>
      <w:hyperlink w:anchor="P1392" w:history="1">
        <w:r>
          <w:rPr>
            <w:color w:val="0000FF"/>
          </w:rPr>
          <w:t>графы 2</w:t>
        </w:r>
      </w:hyperlink>
      <w:r>
        <w:t>) указывается численность штатных работников учреждения культурно-досугового типа.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4" w:history="1">
        <w:r>
          <w:rPr>
            <w:color w:val="0000FF"/>
          </w:rPr>
          <w:t>графе 4</w:t>
        </w:r>
      </w:hyperlink>
      <w:r>
        <w:t xml:space="preserve"> (из </w:t>
      </w:r>
      <w:hyperlink w:anchor="P1392" w:history="1">
        <w:r>
          <w:rPr>
            <w:color w:val="0000FF"/>
          </w:rPr>
          <w:t>графы 2</w:t>
        </w:r>
      </w:hyperlink>
      <w:r>
        <w:t>) указывается численность основного персонала, включая нештатных сотрудников, осуществляющих культурно-досуговую деятельность на конец отчетного года. Учреждения, ведущие библиотечную или музейную деятельность, включают специалистов соответствующих профилей.</w:t>
      </w:r>
    </w:p>
    <w:p w:rsidR="002652D6" w:rsidRDefault="002652D6" w:rsidP="002652D6">
      <w:pPr>
        <w:pStyle w:val="ConsPlusNormal"/>
        <w:ind w:firstLine="540"/>
        <w:jc w:val="both"/>
      </w:pPr>
      <w:r>
        <w:t>Перечень относящихся к основному персоналу должностей определяется на основании нормативно-распорядительного документа организации, в ведении которой находится отчитывающийся респондент. В случае отсутствия такого документа перечень относящихся к основному персоналу должностей определяется приказом руководителя учреждения-респондента.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5" w:history="1">
        <w:r>
          <w:rPr>
            <w:color w:val="0000FF"/>
          </w:rPr>
          <w:t>графе 5</w:t>
        </w:r>
      </w:hyperlink>
      <w:r>
        <w:t xml:space="preserve"> (из </w:t>
      </w:r>
      <w:hyperlink w:anchor="P1392" w:history="1">
        <w:r>
          <w:rPr>
            <w:color w:val="0000FF"/>
          </w:rPr>
          <w:t>графы 2</w:t>
        </w:r>
      </w:hyperlink>
      <w:r>
        <w:t>) указывается численность персонала, прошедшего обучение (инструктирование) по вопросам, связанным с предоставлением услуг инвалидам и лицам с ОВЗ из общей численности работников.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6" w:history="1">
        <w:r>
          <w:rPr>
            <w:color w:val="0000FF"/>
          </w:rPr>
          <w:t>графе 6</w:t>
        </w:r>
      </w:hyperlink>
      <w:r>
        <w:t xml:space="preserve"> (из </w:t>
      </w:r>
      <w:hyperlink w:anchor="P1392" w:history="1">
        <w:r>
          <w:rPr>
            <w:color w:val="0000FF"/>
          </w:rPr>
          <w:t>графы 2</w:t>
        </w:r>
      </w:hyperlink>
      <w:r>
        <w:t>) указывается численность персонала, имеющего инвалидность.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7" w:history="1">
        <w:r>
          <w:rPr>
            <w:color w:val="0000FF"/>
          </w:rPr>
          <w:t>графе 7</w:t>
        </w:r>
      </w:hyperlink>
      <w:r>
        <w:t xml:space="preserve"> (из </w:t>
      </w:r>
      <w:hyperlink w:anchor="P1394" w:history="1">
        <w:r>
          <w:rPr>
            <w:color w:val="0000FF"/>
          </w:rPr>
          <w:t>графы 4</w:t>
        </w:r>
      </w:hyperlink>
      <w:r>
        <w:t xml:space="preserve">) указывается численность основного персонала, имеющего высшее </w:t>
      </w:r>
      <w:r>
        <w:lastRenderedPageBreak/>
        <w:t>образование по профилю учреждения (включая, в случае необходимости, библиотечное и музейное дело).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8" w:history="1">
        <w:r>
          <w:rPr>
            <w:color w:val="0000FF"/>
          </w:rPr>
          <w:t>графе 8</w:t>
        </w:r>
      </w:hyperlink>
      <w:r>
        <w:t xml:space="preserve"> (из </w:t>
      </w:r>
      <w:hyperlink w:anchor="P1394" w:history="1">
        <w:r>
          <w:rPr>
            <w:color w:val="0000FF"/>
          </w:rPr>
          <w:t>графы 4</w:t>
        </w:r>
      </w:hyperlink>
      <w:r>
        <w:t>) указывается численность основного персонала, имеющего среднее специальное образование по профилю учреждения (включая, в случае необходимости, библиотечное и музейное дело).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399" w:history="1">
        <w:r>
          <w:rPr>
            <w:color w:val="0000FF"/>
          </w:rPr>
          <w:t>графах 9</w:t>
        </w:r>
      </w:hyperlink>
      <w:r>
        <w:t xml:space="preserve"> - </w:t>
      </w:r>
      <w:hyperlink w:anchor="P1401" w:history="1">
        <w:r>
          <w:rPr>
            <w:color w:val="0000FF"/>
          </w:rPr>
          <w:t>11</w:t>
        </w:r>
      </w:hyperlink>
      <w:r>
        <w:t xml:space="preserve"> (из </w:t>
      </w:r>
      <w:hyperlink w:anchor="P1393" w:history="1">
        <w:r>
          <w:rPr>
            <w:color w:val="0000FF"/>
          </w:rPr>
          <w:t>графы 3</w:t>
        </w:r>
      </w:hyperlink>
      <w:r>
        <w:t xml:space="preserve">) показывается численность штатных работников, имеющих стаж работы по профилю учреждения до 3 лет </w:t>
      </w:r>
      <w:hyperlink w:anchor="P1399" w:history="1">
        <w:r>
          <w:rPr>
            <w:color w:val="0000FF"/>
          </w:rPr>
          <w:t>(графа 9)</w:t>
        </w:r>
      </w:hyperlink>
      <w:r>
        <w:t xml:space="preserve">, от 3 до 10 лет </w:t>
      </w:r>
      <w:hyperlink w:anchor="P1400" w:history="1">
        <w:r>
          <w:rPr>
            <w:color w:val="0000FF"/>
          </w:rPr>
          <w:t>(графа 10)</w:t>
        </w:r>
      </w:hyperlink>
      <w:r>
        <w:t xml:space="preserve">, свыше 10 лет </w:t>
      </w:r>
      <w:hyperlink w:anchor="P1401" w:history="1">
        <w:r>
          <w:rPr>
            <w:color w:val="0000FF"/>
          </w:rPr>
          <w:t>(графа 11)</w:t>
        </w:r>
      </w:hyperlink>
      <w:r>
        <w:t>.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jc w:val="center"/>
      </w:pPr>
      <w:r>
        <w:t>Раздел 6. Поступление и использование финансовых средств</w:t>
      </w:r>
    </w:p>
    <w:p w:rsidR="002652D6" w:rsidRDefault="002652D6" w:rsidP="002652D6">
      <w:pPr>
        <w:pStyle w:val="ConsPlusNormal"/>
        <w:jc w:val="both"/>
      </w:pP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14" w:history="1">
        <w:r>
          <w:rPr>
            <w:color w:val="0000FF"/>
          </w:rPr>
          <w:t>разделе</w:t>
        </w:r>
      </w:hyperlink>
      <w:r>
        <w:t xml:space="preserve"> на основании данных бухгалтерского учета показываются фактические суммы полученных и произведенных учреждениями поступлений и выплат финансовых средств.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30" w:history="1">
        <w:r>
          <w:rPr>
            <w:color w:val="0000FF"/>
          </w:rPr>
          <w:t>графе 2</w:t>
        </w:r>
      </w:hyperlink>
      <w:r>
        <w:t xml:space="preserve"> указывается общая сумма поступлений финансовых средств за отчетный период, которая складывается из бюджетных ассигнований учредителя </w:t>
      </w:r>
      <w:hyperlink w:anchor="P1431" w:history="1">
        <w:r>
          <w:rPr>
            <w:color w:val="0000FF"/>
          </w:rPr>
          <w:t>(графа 3)</w:t>
        </w:r>
      </w:hyperlink>
      <w:r>
        <w:t xml:space="preserve">, финансирования из бюджетов других уровней </w:t>
      </w:r>
      <w:hyperlink w:anchor="P1432" w:history="1">
        <w:r>
          <w:rPr>
            <w:color w:val="0000FF"/>
          </w:rPr>
          <w:t>(графа 4)</w:t>
        </w:r>
      </w:hyperlink>
      <w:r>
        <w:t xml:space="preserve">, поступлений от предпринимательской и иной приносящей доход деятельности </w:t>
      </w:r>
      <w:hyperlink w:anchor="P1433" w:history="1">
        <w:r>
          <w:rPr>
            <w:color w:val="0000FF"/>
          </w:rPr>
          <w:t>(графа 5)</w:t>
        </w:r>
      </w:hyperlink>
      <w:r>
        <w:t xml:space="preserve"> и поступлений от сдачи имущества в аренду </w:t>
      </w:r>
      <w:hyperlink w:anchor="P1437" w:history="1">
        <w:r>
          <w:rPr>
            <w:color w:val="0000FF"/>
          </w:rPr>
          <w:t>(графа 9)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31" w:history="1">
        <w:r>
          <w:rPr>
            <w:color w:val="0000FF"/>
          </w:rPr>
          <w:t>графе 3</w:t>
        </w:r>
      </w:hyperlink>
      <w:r>
        <w:t xml:space="preserve"> отражаются бюджетные ассигнования, полученные от учредителя.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32" w:history="1">
        <w:r>
          <w:rPr>
            <w:color w:val="0000FF"/>
          </w:rPr>
          <w:t>графе 4</w:t>
        </w:r>
      </w:hyperlink>
      <w:r>
        <w:t xml:space="preserve"> отражаются поступления, полученные из бюджетов других уровней.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33" w:history="1">
        <w:r>
          <w:rPr>
            <w:color w:val="0000FF"/>
          </w:rPr>
          <w:t>графе 5</w:t>
        </w:r>
      </w:hyperlink>
      <w:r>
        <w:t xml:space="preserve"> отражаются поступления от предпринимательской и иной приносящей доход деятельности, из числа которых выделяются: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поступления от основных видов уставной деятельности </w:t>
      </w:r>
      <w:hyperlink w:anchor="P1434" w:history="1">
        <w:r>
          <w:rPr>
            <w:color w:val="0000FF"/>
          </w:rPr>
          <w:t>(графа 6)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благотворительные и спонсорские вклады </w:t>
      </w:r>
      <w:hyperlink w:anchor="P1435" w:history="1">
        <w:r>
          <w:rPr>
            <w:color w:val="0000FF"/>
          </w:rPr>
          <w:t>(графа 7)</w:t>
        </w:r>
      </w:hyperlink>
      <w:r>
        <w:t>,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поступления от предпринимательской деятельности </w:t>
      </w:r>
      <w:hyperlink w:anchor="P1436" w:history="1">
        <w:r>
          <w:rPr>
            <w:color w:val="0000FF"/>
          </w:rPr>
          <w:t>(графа 8)</w:t>
        </w:r>
      </w:hyperlink>
      <w:r>
        <w:t>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67" w:history="1">
        <w:r>
          <w:rPr>
            <w:color w:val="0000FF"/>
          </w:rPr>
          <w:t>графе 10</w:t>
        </w:r>
      </w:hyperlink>
      <w:r>
        <w:t xml:space="preserve"> указывается общая сумма средств, израсходованных учреждением за отчетный период.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68" w:history="1">
        <w:r>
          <w:rPr>
            <w:color w:val="0000FF"/>
          </w:rPr>
          <w:t>графе 11</w:t>
        </w:r>
      </w:hyperlink>
      <w:r>
        <w:t xml:space="preserve"> (из </w:t>
      </w:r>
      <w:hyperlink w:anchor="P1467" w:history="1">
        <w:r>
          <w:rPr>
            <w:color w:val="0000FF"/>
          </w:rPr>
          <w:t>графы 10</w:t>
        </w:r>
      </w:hyperlink>
      <w:r>
        <w:t>) приводятся данные о суммарной величине финансовых средств, израсходованных на оплату труда работников, как состоящих в штате учреждения, так и привлекаемых для выполнения работ по договорам (контрактам) гражданско-правового характера. Сюда включаются выплаты по должностным окладам, надбавки, премии, материальная помощь и другие виды денежных вознаграждений.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69" w:history="1">
        <w:r>
          <w:rPr>
            <w:color w:val="0000FF"/>
          </w:rPr>
          <w:t>графе 12</w:t>
        </w:r>
      </w:hyperlink>
      <w:r>
        <w:t xml:space="preserve"> (из </w:t>
      </w:r>
      <w:hyperlink w:anchor="P1468" w:history="1">
        <w:r>
          <w:rPr>
            <w:color w:val="0000FF"/>
          </w:rPr>
          <w:t>графы 11</w:t>
        </w:r>
      </w:hyperlink>
      <w:r>
        <w:t>) приводятся данные о величине финансовых средств, израсходованных на оплату труда работников и полученных от предпринимательской и иной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0" w:history="1">
        <w:r>
          <w:rPr>
            <w:color w:val="0000FF"/>
          </w:rPr>
          <w:t>графе 13</w:t>
        </w:r>
      </w:hyperlink>
      <w:r>
        <w:t xml:space="preserve"> (из </w:t>
      </w:r>
      <w:hyperlink w:anchor="P1468" w:history="1">
        <w:r>
          <w:rPr>
            <w:color w:val="0000FF"/>
          </w:rPr>
          <w:t>графы 11</w:t>
        </w:r>
      </w:hyperlink>
      <w:r>
        <w:t>) приводятся данные о величине финансовых средств, израсходованных на оплату труда основного персонала.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1" w:history="1">
        <w:r>
          <w:rPr>
            <w:color w:val="0000FF"/>
          </w:rPr>
          <w:t>графе 14</w:t>
        </w:r>
      </w:hyperlink>
      <w:r>
        <w:t xml:space="preserve"> (из </w:t>
      </w:r>
      <w:hyperlink w:anchor="P1470" w:history="1">
        <w:r>
          <w:rPr>
            <w:color w:val="0000FF"/>
          </w:rPr>
          <w:t>графы 13</w:t>
        </w:r>
      </w:hyperlink>
      <w:r>
        <w:t>) приводятся данные о величине финансовых средств, израсходованных на оплату труда основного персонала и полученных от предпринимательской и иной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2" w:history="1">
        <w:r>
          <w:rPr>
            <w:color w:val="0000FF"/>
          </w:rPr>
          <w:t>графе 15</w:t>
        </w:r>
      </w:hyperlink>
      <w:r>
        <w:t xml:space="preserve"> (из </w:t>
      </w:r>
      <w:hyperlink w:anchor="P1467" w:history="1">
        <w:r>
          <w:rPr>
            <w:color w:val="0000FF"/>
          </w:rPr>
          <w:t>графы 10</w:t>
        </w:r>
      </w:hyperlink>
      <w:r>
        <w:t>) приводятся данные о величине финансовых средств, израсходованных на капитальный ремонт и реставрацию зданий и помещений.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3" w:history="1">
        <w:r>
          <w:rPr>
            <w:color w:val="0000FF"/>
          </w:rPr>
          <w:t>графе 16</w:t>
        </w:r>
      </w:hyperlink>
      <w:r>
        <w:t xml:space="preserve"> (из </w:t>
      </w:r>
      <w:hyperlink w:anchor="P1472" w:history="1">
        <w:r>
          <w:rPr>
            <w:color w:val="0000FF"/>
          </w:rPr>
          <w:t>графы 15</w:t>
        </w:r>
      </w:hyperlink>
      <w:r>
        <w:t>) приводятся данные о величине финансовых средств, израсходованных на капитальный ремонт и реставрацию зданий и помещений и полученных от предпринимательской и иной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4" w:history="1">
        <w:r>
          <w:rPr>
            <w:color w:val="0000FF"/>
          </w:rPr>
          <w:t>графе 17</w:t>
        </w:r>
      </w:hyperlink>
      <w:r>
        <w:t xml:space="preserve"> (из </w:t>
      </w:r>
      <w:hyperlink w:anchor="P1467" w:history="1">
        <w:r>
          <w:rPr>
            <w:color w:val="0000FF"/>
          </w:rPr>
          <w:t>графы 10</w:t>
        </w:r>
      </w:hyperlink>
      <w:r>
        <w:t>) приводятся данные о величине финансовых средств, израсходованных на приобретение (замену) оборудования.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5" w:history="1">
        <w:r>
          <w:rPr>
            <w:color w:val="0000FF"/>
          </w:rPr>
          <w:t>графе 18</w:t>
        </w:r>
      </w:hyperlink>
      <w:r>
        <w:t xml:space="preserve"> (из </w:t>
      </w:r>
      <w:hyperlink w:anchor="P1474" w:history="1">
        <w:r>
          <w:rPr>
            <w:color w:val="0000FF"/>
          </w:rPr>
          <w:t>графы 17</w:t>
        </w:r>
      </w:hyperlink>
      <w:r>
        <w:t xml:space="preserve">) приводятся данные о величине финансовых средств, израсходованных на приобретение (замену) оборудования для улучшения условий доступности для лиц с ОВЗ (колясок, </w:t>
      </w:r>
      <w:proofErr w:type="spellStart"/>
      <w:r>
        <w:t>скалоходов</w:t>
      </w:r>
      <w:proofErr w:type="spellEnd"/>
      <w:r>
        <w:t xml:space="preserve"> и т.п.).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6" w:history="1">
        <w:r>
          <w:rPr>
            <w:color w:val="0000FF"/>
          </w:rPr>
          <w:t>графе 19</w:t>
        </w:r>
      </w:hyperlink>
      <w:r>
        <w:t xml:space="preserve"> (из </w:t>
      </w:r>
      <w:hyperlink w:anchor="P1474" w:history="1">
        <w:r>
          <w:rPr>
            <w:color w:val="0000FF"/>
          </w:rPr>
          <w:t>графы 17</w:t>
        </w:r>
      </w:hyperlink>
      <w:r>
        <w:t xml:space="preserve">) приводятся данные о величине финансовых средств, израсходованных на приобретение оборудования и полученных от предпринимательской и иной </w:t>
      </w:r>
      <w:r>
        <w:lastRenderedPageBreak/>
        <w:t>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7" w:history="1">
        <w:r>
          <w:rPr>
            <w:color w:val="0000FF"/>
          </w:rPr>
          <w:t>графе 20</w:t>
        </w:r>
      </w:hyperlink>
      <w:r>
        <w:t xml:space="preserve"> (из </w:t>
      </w:r>
      <w:hyperlink w:anchor="P1467" w:history="1">
        <w:r>
          <w:rPr>
            <w:color w:val="0000FF"/>
          </w:rPr>
          <w:t>графы 10</w:t>
        </w:r>
      </w:hyperlink>
      <w:r>
        <w:t>) приводятся данные о величине финансовых средств, израсходованных на подготовку и проведение социально-значимых мероприятий.</w:t>
      </w:r>
    </w:p>
    <w:p w:rsidR="002652D6" w:rsidRDefault="002652D6" w:rsidP="002652D6">
      <w:pPr>
        <w:pStyle w:val="ConsPlusNormal"/>
        <w:ind w:firstLine="540"/>
        <w:jc w:val="both"/>
      </w:pPr>
      <w:r>
        <w:t xml:space="preserve">В </w:t>
      </w:r>
      <w:hyperlink w:anchor="P1478" w:history="1">
        <w:r>
          <w:rPr>
            <w:color w:val="0000FF"/>
          </w:rPr>
          <w:t>графе 21</w:t>
        </w:r>
      </w:hyperlink>
      <w:r>
        <w:t xml:space="preserve"> (из </w:t>
      </w:r>
      <w:hyperlink w:anchor="P1477" w:history="1">
        <w:r>
          <w:rPr>
            <w:color w:val="0000FF"/>
          </w:rPr>
          <w:t>графы 20</w:t>
        </w:r>
      </w:hyperlink>
      <w:r>
        <w:t>) приводятся данные о величине финансовых средств, израсходованных на подготовку и проведение социально-значимых мероприятий и полученных от предпринимательской и иной приносящей доход деятельности, а также средств, поступивших от аренды имущества, находящегося в собственности или оперативном управлении учреждения.</w:t>
      </w:r>
    </w:p>
    <w:p w:rsidR="002652D6" w:rsidRDefault="002652D6" w:rsidP="002652D6"/>
    <w:p w:rsidR="00C73052" w:rsidRDefault="00C73052" w:rsidP="002652D6"/>
    <w:p w:rsidR="00C134D7" w:rsidRDefault="00C134D7" w:rsidP="002652D6"/>
    <w:p w:rsidR="00C134D7" w:rsidRDefault="00C134D7" w:rsidP="002652D6"/>
    <w:p w:rsidR="00C73052" w:rsidRDefault="00C73052" w:rsidP="002652D6"/>
    <w:p w:rsidR="00C73052" w:rsidRDefault="00C73052" w:rsidP="00C73052">
      <w:pPr>
        <w:pStyle w:val="ConsPlusNormal"/>
        <w:jc w:val="center"/>
      </w:pPr>
      <w:r>
        <w:t>Указания</w:t>
      </w:r>
    </w:p>
    <w:p w:rsidR="00C73052" w:rsidRDefault="00C73052" w:rsidP="00C73052">
      <w:pPr>
        <w:pStyle w:val="ConsPlusNormal"/>
        <w:jc w:val="center"/>
      </w:pPr>
      <w:r>
        <w:t>по заполнению формы федерального статистического наблюдения</w:t>
      </w:r>
    </w:p>
    <w:p w:rsidR="00C73052" w:rsidRDefault="00C73052" w:rsidP="00C73052">
      <w:pPr>
        <w:pStyle w:val="ConsPlusNormal"/>
        <w:jc w:val="both"/>
      </w:pPr>
    </w:p>
    <w:p w:rsidR="00C73052" w:rsidRDefault="002A56D6" w:rsidP="00C73052">
      <w:pPr>
        <w:pStyle w:val="ConsPlusNormal"/>
        <w:ind w:firstLine="540"/>
        <w:jc w:val="both"/>
      </w:pPr>
      <w:hyperlink w:anchor="P1663" w:history="1">
        <w:r w:rsidR="00C73052" w:rsidRPr="00C73052">
          <w:rPr>
            <w:color w:val="0000FF"/>
            <w:highlight w:val="yellow"/>
          </w:rPr>
          <w:t>Приложение</w:t>
        </w:r>
      </w:hyperlink>
      <w:r w:rsidR="00C73052">
        <w:t xml:space="preserve"> к форме федерального статистического наблюдения N 7-НК предоставляют органы местного самоуправления, наделенные полномочиями по вопросам культуры.</w:t>
      </w:r>
    </w:p>
    <w:p w:rsidR="00C73052" w:rsidRDefault="00C73052" w:rsidP="00C73052">
      <w:pPr>
        <w:pStyle w:val="ConsPlusNormal"/>
        <w:ind w:firstLine="540"/>
        <w:jc w:val="both"/>
      </w:pPr>
      <w:r>
        <w:t>Отчет заполняется только по районам Крайнего Севера и приравненным к ним местностям.</w:t>
      </w:r>
    </w:p>
    <w:p w:rsidR="00C73052" w:rsidRDefault="00C73052" w:rsidP="00C73052">
      <w:pPr>
        <w:pStyle w:val="ConsPlusNormal"/>
        <w:ind w:firstLine="540"/>
        <w:jc w:val="both"/>
      </w:pPr>
      <w:r>
        <w:t>Руководитель юридического лица назначает должностных лиц, уполномоченных предоставлять статистическую информацию от имени юридического лица.</w:t>
      </w:r>
    </w:p>
    <w:p w:rsidR="00C73052" w:rsidRDefault="00C73052" w:rsidP="00C73052">
      <w:pPr>
        <w:pStyle w:val="ConsPlusNormal"/>
        <w:ind w:firstLine="540"/>
        <w:jc w:val="both"/>
      </w:pPr>
      <w:r>
        <w:t xml:space="preserve">В </w:t>
      </w:r>
      <w:hyperlink w:anchor="P1690" w:history="1">
        <w:r>
          <w:rPr>
            <w:color w:val="0000FF"/>
          </w:rPr>
          <w:t>адресной части</w:t>
        </w:r>
      </w:hyperlink>
      <w:r>
        <w:t xml:space="preserve">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порядке.</w:t>
      </w:r>
    </w:p>
    <w:p w:rsidR="00C73052" w:rsidRDefault="00C73052" w:rsidP="00C73052">
      <w:pPr>
        <w:pStyle w:val="ConsPlusNormal"/>
        <w:ind w:firstLine="540"/>
        <w:jc w:val="both"/>
      </w:pPr>
      <w:proofErr w:type="gramStart"/>
      <w:r>
        <w:t xml:space="preserve">По </w:t>
      </w:r>
      <w:hyperlink w:anchor="P1691" w:history="1">
        <w:r>
          <w:rPr>
            <w:color w:val="0000FF"/>
          </w:rPr>
          <w:t>строке</w:t>
        </w:r>
      </w:hyperlink>
      <w:r>
        <w:t xml:space="preserve"> "Почтовый адрес" указывается наиме</w:t>
      </w:r>
      <w:bookmarkStart w:id="0" w:name="_GoBack"/>
      <w:bookmarkEnd w:id="0"/>
      <w:r>
        <w:t>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(почтовый) адрес.</w:t>
      </w:r>
      <w:proofErr w:type="gramEnd"/>
    </w:p>
    <w:p w:rsidR="00C73052" w:rsidRDefault="00C73052" w:rsidP="00C73052">
      <w:pPr>
        <w:pStyle w:val="ConsPlusNormal"/>
        <w:ind w:firstLine="540"/>
        <w:jc w:val="both"/>
      </w:pPr>
      <w:r>
        <w:t xml:space="preserve">Юридическое лицо проставляет в </w:t>
      </w:r>
      <w:hyperlink w:anchor="P1693" w:history="1">
        <w:r>
          <w:rPr>
            <w:color w:val="0000FF"/>
          </w:rPr>
          <w:t>кодовой части</w:t>
        </w:r>
      </w:hyperlink>
      <w:r>
        <w:t xml:space="preserve">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C73052" w:rsidRDefault="00C73052" w:rsidP="00C73052">
      <w:pPr>
        <w:pStyle w:val="ConsPlusNormal"/>
        <w:ind w:firstLine="540"/>
        <w:jc w:val="both"/>
      </w:pPr>
      <w:r>
        <w:t xml:space="preserve">Учредитель (учредители) отчитывающейся организации указывается в соответствии с записью в учредительных документах, и затем его организационно-правовая форма и форма собственности. Направление основной деятельности учредителя определяется на основании классификатора кодов </w:t>
      </w:r>
      <w:hyperlink r:id="rId8" w:history="1">
        <w:r>
          <w:rPr>
            <w:color w:val="0000FF"/>
          </w:rPr>
          <w:t>ОКВЭД</w:t>
        </w:r>
      </w:hyperlink>
      <w:r>
        <w:t>.</w:t>
      </w:r>
    </w:p>
    <w:p w:rsidR="00C73052" w:rsidRDefault="00C73052" w:rsidP="00C73052">
      <w:pPr>
        <w:pStyle w:val="ConsPlusNormal"/>
        <w:ind w:firstLine="540"/>
        <w:jc w:val="both"/>
      </w:pPr>
      <w:r>
        <w:t xml:space="preserve">Отчет по </w:t>
      </w:r>
      <w:hyperlink w:anchor="P1663" w:history="1">
        <w:r>
          <w:rPr>
            <w:color w:val="0000FF"/>
          </w:rPr>
          <w:t>форме</w:t>
        </w:r>
      </w:hyperlink>
      <w:r>
        <w:t xml:space="preserve"> составляется на конец отчетного периода. Отчетным периодом является 1 год.</w:t>
      </w:r>
    </w:p>
    <w:p w:rsidR="00C73052" w:rsidRDefault="00C73052" w:rsidP="00C73052">
      <w:pPr>
        <w:pStyle w:val="ConsPlusNormal"/>
        <w:ind w:firstLine="540"/>
        <w:jc w:val="both"/>
      </w:pPr>
      <w:r>
        <w:t xml:space="preserve">Все показатели, приведенные в </w:t>
      </w:r>
      <w:hyperlink w:anchor="P1663" w:history="1">
        <w:r>
          <w:rPr>
            <w:color w:val="0000FF"/>
          </w:rPr>
          <w:t>форме</w:t>
        </w:r>
      </w:hyperlink>
      <w:r>
        <w:t xml:space="preserve">, должны соответствовать данным первичной учетной документации, имеющейся в организации. При заполнении </w:t>
      </w:r>
      <w:hyperlink w:anchor="P1663" w:history="1">
        <w:r>
          <w:rPr>
            <w:color w:val="0000FF"/>
          </w:rPr>
          <w:t>формы</w:t>
        </w:r>
      </w:hyperlink>
      <w:r>
        <w:t xml:space="preserve"> должна быть обеспечена полнота заполнения и достоверность содержащихся в ней статистических данных.</w:t>
      </w:r>
    </w:p>
    <w:p w:rsidR="00C73052" w:rsidRDefault="00C73052" w:rsidP="00C73052">
      <w:pPr>
        <w:pStyle w:val="ConsPlusNormal"/>
        <w:ind w:firstLine="540"/>
        <w:jc w:val="both"/>
      </w:pPr>
      <w:r>
        <w:t xml:space="preserve">Данные приводятся в тех единицах измерения, которые указаны в </w:t>
      </w:r>
      <w:hyperlink w:anchor="P1663" w:history="1">
        <w:r>
          <w:rPr>
            <w:color w:val="0000FF"/>
          </w:rPr>
          <w:t>форме</w:t>
        </w:r>
      </w:hyperlink>
      <w:r>
        <w:t>.</w:t>
      </w:r>
    </w:p>
    <w:p w:rsidR="00E06868" w:rsidRDefault="00C73052">
      <w:r>
        <w:t xml:space="preserve">В отчете указывается число </w:t>
      </w:r>
      <w:proofErr w:type="spellStart"/>
      <w:r>
        <w:t>культбригад</w:t>
      </w:r>
      <w:proofErr w:type="spellEnd"/>
      <w:r w:rsidR="0084221B">
        <w:t xml:space="preserve"> </w:t>
      </w:r>
      <w:hyperlink w:anchor="P1718" w:history="1">
        <w:r>
          <w:rPr>
            <w:color w:val="0000FF"/>
          </w:rPr>
          <w:t>(строка 01)</w:t>
        </w:r>
      </w:hyperlink>
      <w:r>
        <w:t xml:space="preserve">, численности работающих в них специалистов культурно-досуговой деятельности </w:t>
      </w:r>
      <w:hyperlink w:anchor="P1721" w:history="1">
        <w:r>
          <w:rPr>
            <w:color w:val="0000FF"/>
          </w:rPr>
          <w:t>(строка 02)</w:t>
        </w:r>
      </w:hyperlink>
      <w:r>
        <w:t xml:space="preserve"> и число мероприятий, проведенных этими </w:t>
      </w:r>
      <w:proofErr w:type="spellStart"/>
      <w:r>
        <w:t>культбригадами</w:t>
      </w:r>
      <w:proofErr w:type="spellEnd"/>
      <w:r>
        <w:t xml:space="preserve"> в районах Крайнего Севера и приравненным к ним местностям</w:t>
      </w:r>
    </w:p>
    <w:sectPr w:rsidR="00E06868" w:rsidSect="004B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2D6"/>
    <w:rsid w:val="00036755"/>
    <w:rsid w:val="002652D6"/>
    <w:rsid w:val="002A56D6"/>
    <w:rsid w:val="004A60B9"/>
    <w:rsid w:val="004B7D64"/>
    <w:rsid w:val="00796510"/>
    <w:rsid w:val="0084221B"/>
    <w:rsid w:val="008F29F1"/>
    <w:rsid w:val="00C134D7"/>
    <w:rsid w:val="00C73052"/>
    <w:rsid w:val="00E06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5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7CFC2A70A919F4C602F81FD23BFCBCFDB7FD05B6C1C21EFBFBBA7BFDxCPD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C7CFC2A70A919F4C602F106D53BFCBCF8B6FB07B6C9C21EFBFBBA7BFDCDD0B58FF72017A9982D36x3P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7CFC2A70A919F4C602FB0ACB3BFCBCFABEFD02BE96951CAAAEB4x7PEI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3C7CFC2A70A919F4C602F81FD23BFCBCFDB7FC04BCC6C21EFBFBBA7BFDCDD0B58FF72017A9982D32x3P7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C7CFC2A70A919F4C602F81FD23BFCBCFDB7FD05B6C1C21EFBFBBA7BFDxCPD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4465</Words>
  <Characters>25453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Е.В.</dc:creator>
  <cp:lastModifiedBy>ИАО</cp:lastModifiedBy>
  <cp:revision>7</cp:revision>
  <dcterms:created xsi:type="dcterms:W3CDTF">2015-11-23T08:17:00Z</dcterms:created>
  <dcterms:modified xsi:type="dcterms:W3CDTF">2015-12-04T06:46:00Z</dcterms:modified>
</cp:coreProperties>
</file>